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414D563">
      <w:pPr>
        <w:spacing w:line="360" w:lineRule="auto"/>
        <w:jc w:val="both"/>
        <w:rPr>
          <w:rFonts w:ascii="Times New Roman" w:hAnsi="Times New Roman" w:cs="Times New Roman"/>
          <w:sz w:val="24"/>
          <w:szCs w:val="24"/>
        </w:rPr>
      </w:pPr>
    </w:p>
    <w:p w14:paraId="2585EAFB">
      <w:pPr>
        <w:spacing w:line="360" w:lineRule="auto"/>
        <w:jc w:val="both"/>
        <w:rPr>
          <w:rFonts w:ascii="Times New Roman" w:hAnsi="Times New Roman" w:cs="Times New Roman"/>
          <w:sz w:val="24"/>
          <w:szCs w:val="24"/>
        </w:rPr>
      </w:pPr>
    </w:p>
    <w:p w14:paraId="0FEE2B8C">
      <w:pPr>
        <w:spacing w:line="360" w:lineRule="auto"/>
        <w:jc w:val="both"/>
        <w:rPr>
          <w:rFonts w:ascii="Times New Roman" w:hAnsi="Times New Roman" w:cs="Times New Roman"/>
          <w:sz w:val="24"/>
          <w:szCs w:val="24"/>
        </w:rPr>
      </w:pPr>
    </w:p>
    <w:p w14:paraId="48E360F6">
      <w:pPr>
        <w:spacing w:line="360" w:lineRule="auto"/>
        <w:jc w:val="both"/>
        <w:rPr>
          <w:rFonts w:ascii="Times New Roman" w:hAnsi="Times New Roman" w:cs="Times New Roman"/>
          <w:sz w:val="24"/>
          <w:szCs w:val="24"/>
        </w:rPr>
      </w:pPr>
    </w:p>
    <w:p w14:paraId="03B501C2">
      <w:pPr>
        <w:spacing w:line="360" w:lineRule="auto"/>
        <w:jc w:val="both"/>
        <w:rPr>
          <w:rFonts w:ascii="Times New Roman" w:hAnsi="Times New Roman" w:cs="Times New Roman"/>
          <w:sz w:val="24"/>
          <w:szCs w:val="24"/>
        </w:rPr>
      </w:pPr>
    </w:p>
    <w:p w14:paraId="44A5E9A8">
      <w:pPr>
        <w:spacing w:line="360" w:lineRule="auto"/>
        <w:jc w:val="both"/>
        <w:rPr>
          <w:rFonts w:ascii="Times New Roman" w:hAnsi="Times New Roman" w:cs="Times New Roman"/>
          <w:sz w:val="24"/>
          <w:szCs w:val="24"/>
        </w:rPr>
      </w:pPr>
    </w:p>
    <w:p w14:paraId="5084F942">
      <w:pPr>
        <w:spacing w:line="360" w:lineRule="auto"/>
        <w:jc w:val="both"/>
        <w:rPr>
          <w:rFonts w:ascii="Times New Roman" w:hAnsi="Times New Roman" w:cs="Times New Roman"/>
          <w:sz w:val="24"/>
          <w:szCs w:val="24"/>
        </w:rPr>
      </w:pPr>
    </w:p>
    <w:p w14:paraId="6E16EF62">
      <w:pPr>
        <w:spacing w:line="360" w:lineRule="auto"/>
        <w:jc w:val="both"/>
        <w:rPr>
          <w:rFonts w:ascii="Times New Roman" w:hAnsi="Times New Roman" w:cs="Times New Roman"/>
          <w:sz w:val="24"/>
          <w:szCs w:val="24"/>
        </w:rPr>
      </w:pPr>
    </w:p>
    <w:p w14:paraId="4A6D873C">
      <w:pPr>
        <w:spacing w:line="360" w:lineRule="auto"/>
        <w:jc w:val="both"/>
        <w:rPr>
          <w:rFonts w:ascii="Times New Roman" w:hAnsi="Times New Roman" w:cs="Times New Roman"/>
          <w:sz w:val="24"/>
          <w:szCs w:val="24"/>
        </w:rPr>
      </w:pPr>
    </w:p>
    <w:p w14:paraId="117E0E2D">
      <w:pPr>
        <w:spacing w:line="360" w:lineRule="auto"/>
        <w:jc w:val="both"/>
        <w:rPr>
          <w:rFonts w:ascii="Times New Roman" w:hAnsi="Times New Roman" w:cs="Times New Roman"/>
          <w:sz w:val="24"/>
          <w:szCs w:val="24"/>
        </w:rPr>
      </w:pPr>
    </w:p>
    <w:p w14:paraId="75E22CA1">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1AA4A769">
      <w:pPr>
        <w:spacing w:line="360" w:lineRule="auto"/>
        <w:jc w:val="both"/>
        <w:rPr>
          <w:rFonts w:ascii="Times New Roman" w:hAnsi="Times New Roman" w:cs="Times New Roman"/>
          <w:sz w:val="24"/>
          <w:szCs w:val="24"/>
        </w:rPr>
      </w:pPr>
    </w:p>
    <w:p w14:paraId="4F4CA7F7">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5A7A4EEF">
      <w:pPr>
        <w:rPr>
          <w:rFonts w:ascii="Times New Roman" w:hAnsi="Times New Roman" w:cs="Times New Roman"/>
          <w:sz w:val="24"/>
          <w:szCs w:val="24"/>
        </w:rPr>
      </w:pPr>
      <w:r>
        <w:rPr>
          <w:rFonts w:ascii="Times New Roman" w:hAnsi="Times New Roman" w:cs="Times New Roman"/>
          <w:sz w:val="24"/>
          <w:szCs w:val="24"/>
        </w:rPr>
        <w:br w:type="page"/>
      </w:r>
    </w:p>
    <w:p w14:paraId="12790F45">
      <w:pPr>
        <w:pStyle w:val="9"/>
        <w:widowControl/>
        <w:spacing w:beforeAutospacing="0" w:after="0" w:afterAutospacing="0" w:line="21" w:lineRule="atLeast"/>
        <w:ind w:left="0" w:right="0" w:firstLine="0"/>
        <w:jc w:val="center"/>
        <w:rPr>
          <w:rFonts w:ascii="-webkit-standard" w:hAnsi="-webkit-standard" w:eastAsia="-webkit-standard" w:cs="-webkit-standard"/>
          <w:i w:val="0"/>
          <w:caps w:val="0"/>
          <w:color w:val="000000"/>
          <w:spacing w:val="0"/>
          <w:sz w:val="24"/>
          <w:szCs w:val="24"/>
        </w:rPr>
      </w:pPr>
      <w:r>
        <w:rPr>
          <w:rFonts w:hint="default" w:eastAsia="-webkit-standard" w:cs="Times New Roman"/>
          <w:b/>
          <w:i w:val="0"/>
          <w:caps w:val="0"/>
          <w:color w:val="000000"/>
          <w:spacing w:val="0"/>
          <w:sz w:val="24"/>
          <w:szCs w:val="24"/>
          <w:lang w:val="en-US"/>
        </w:rPr>
        <w:t xml:space="preserve">AN APPRAISAL OF THE </w:t>
      </w:r>
      <w:r>
        <w:rPr>
          <w:rFonts w:hint="default" w:ascii="Times New Roman" w:hAnsi="Times New Roman" w:eastAsia="-webkit-standard" w:cs="Times New Roman"/>
          <w:b/>
          <w:i w:val="0"/>
          <w:caps w:val="0"/>
          <w:color w:val="000000"/>
          <w:spacing w:val="0"/>
          <w:sz w:val="24"/>
          <w:szCs w:val="24"/>
        </w:rPr>
        <w:t>TAX REFORMS UNDER THE AHMED TINUBU’S ADMINISTRATION IN NIGERIA</w:t>
      </w:r>
    </w:p>
    <w:p w14:paraId="529E31D6">
      <w:pPr>
        <w:pStyle w:val="9"/>
        <w:widowControl/>
        <w:spacing w:beforeAutospacing="0" w:after="0" w:afterAutospacing="0" w:line="21"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i w:val="0"/>
          <w:caps w:val="0"/>
          <w:color w:val="000000"/>
          <w:spacing w:val="0"/>
          <w:sz w:val="24"/>
          <w:szCs w:val="24"/>
        </w:rPr>
        <w:t> </w:t>
      </w:r>
    </w:p>
    <w:p w14:paraId="78D5EEFC">
      <w:pPr>
        <w:pStyle w:val="9"/>
        <w:widowControl/>
        <w:spacing w:beforeAutospacing="0" w:after="0" w:afterAutospacing="0" w:line="21"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i w:val="0"/>
          <w:caps w:val="0"/>
          <w:color w:val="000000"/>
          <w:spacing w:val="0"/>
          <w:sz w:val="18"/>
          <w:szCs w:val="18"/>
        </w:rPr>
        <w:t> </w:t>
      </w:r>
    </w:p>
    <w:p w14:paraId="347EA207">
      <w:pPr>
        <w:pStyle w:val="9"/>
        <w:widowControl/>
        <w:spacing w:beforeAutospacing="0" w:after="150" w:afterAutospacing="0" w:line="36"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i w:val="0"/>
          <w:caps w:val="0"/>
          <w:color w:val="000000"/>
          <w:spacing w:val="0"/>
          <w:sz w:val="18"/>
          <w:szCs w:val="18"/>
        </w:rPr>
        <w:t> </w:t>
      </w:r>
    </w:p>
    <w:p w14:paraId="611AA9C0">
      <w:pPr>
        <w:pStyle w:val="9"/>
        <w:widowControl/>
        <w:spacing w:beforeAutospacing="0" w:after="150" w:afterAutospacing="0" w:line="36"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i w:val="0"/>
          <w:caps w:val="0"/>
          <w:color w:val="000000"/>
          <w:spacing w:val="0"/>
          <w:sz w:val="18"/>
          <w:szCs w:val="18"/>
        </w:rPr>
        <w:t> </w:t>
      </w:r>
    </w:p>
    <w:p w14:paraId="4450F0F8">
      <w:pPr>
        <w:spacing w:line="360" w:lineRule="auto"/>
        <w:jc w:val="center"/>
        <w:rPr>
          <w:rFonts w:ascii="Times New Roman" w:hAnsi="Times New Roman" w:cs="Times New Roman"/>
          <w:b/>
          <w:sz w:val="24"/>
          <w:szCs w:val="24"/>
        </w:rPr>
      </w:pPr>
    </w:p>
    <w:p w14:paraId="6FEF5EA0">
      <w:pPr>
        <w:spacing w:line="360" w:lineRule="auto"/>
        <w:jc w:val="center"/>
        <w:rPr>
          <w:rFonts w:ascii="Times New Roman" w:hAnsi="Times New Roman" w:cs="Times New Roman"/>
          <w:b/>
          <w:sz w:val="24"/>
          <w:szCs w:val="24"/>
        </w:rPr>
      </w:pPr>
    </w:p>
    <w:p w14:paraId="2FCB18B6">
      <w:pPr>
        <w:spacing w:line="360" w:lineRule="auto"/>
        <w:jc w:val="center"/>
        <w:rPr>
          <w:rFonts w:ascii="Times New Roman" w:hAnsi="Times New Roman" w:cs="Times New Roman"/>
          <w:b/>
          <w:sz w:val="24"/>
          <w:szCs w:val="24"/>
        </w:rPr>
      </w:pPr>
    </w:p>
    <w:p w14:paraId="3C31D961">
      <w:pPr>
        <w:spacing w:line="360" w:lineRule="auto"/>
        <w:jc w:val="center"/>
        <w:rPr>
          <w:rFonts w:ascii="Times New Roman" w:hAnsi="Times New Roman" w:cs="Times New Roman"/>
          <w:b/>
          <w:sz w:val="24"/>
          <w:szCs w:val="24"/>
        </w:rPr>
      </w:pPr>
    </w:p>
    <w:p w14:paraId="1C0676FE">
      <w:pPr>
        <w:spacing w:line="360" w:lineRule="auto"/>
        <w:jc w:val="center"/>
        <w:rPr>
          <w:rFonts w:ascii="Times New Roman" w:hAnsi="Times New Roman" w:cs="Times New Roman"/>
          <w:b/>
          <w:sz w:val="24"/>
          <w:szCs w:val="24"/>
        </w:rPr>
      </w:pPr>
    </w:p>
    <w:p w14:paraId="7E1790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AFAM-ANI KAOSISOCHUKWU MAURA ADAOBI</w:t>
      </w:r>
    </w:p>
    <w:p w14:paraId="098E2F4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GOU/U21/LAW/358</w:t>
      </w:r>
    </w:p>
    <w:p w14:paraId="27B18E61">
      <w:pPr>
        <w:spacing w:line="360" w:lineRule="auto"/>
        <w:jc w:val="center"/>
        <w:rPr>
          <w:rFonts w:ascii="Times New Roman" w:hAnsi="Times New Roman" w:cs="Times New Roman"/>
          <w:b/>
          <w:sz w:val="24"/>
          <w:szCs w:val="24"/>
        </w:rPr>
      </w:pPr>
    </w:p>
    <w:p w14:paraId="30408F8A">
      <w:pPr>
        <w:spacing w:line="360" w:lineRule="auto"/>
        <w:jc w:val="center"/>
        <w:rPr>
          <w:rFonts w:ascii="Times New Roman" w:hAnsi="Times New Roman" w:cs="Times New Roman"/>
          <w:b/>
          <w:sz w:val="24"/>
          <w:szCs w:val="24"/>
        </w:rPr>
      </w:pPr>
    </w:p>
    <w:p w14:paraId="044A42B8">
      <w:pPr>
        <w:spacing w:line="360" w:lineRule="auto"/>
        <w:jc w:val="center"/>
        <w:rPr>
          <w:rFonts w:ascii="Times New Roman" w:hAnsi="Times New Roman" w:cs="Times New Roman"/>
          <w:b/>
          <w:sz w:val="24"/>
          <w:szCs w:val="24"/>
        </w:rPr>
      </w:pPr>
    </w:p>
    <w:p w14:paraId="20CB2D63">
      <w:pPr>
        <w:spacing w:line="360" w:lineRule="auto"/>
        <w:jc w:val="center"/>
        <w:rPr>
          <w:rFonts w:ascii="Times New Roman" w:hAnsi="Times New Roman" w:cs="Times New Roman"/>
          <w:b/>
          <w:sz w:val="24"/>
          <w:szCs w:val="24"/>
        </w:rPr>
      </w:pPr>
    </w:p>
    <w:p w14:paraId="4E8AF3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JULY 2026</w:t>
      </w:r>
    </w:p>
    <w:p w14:paraId="0BB14904">
      <w:pPr>
        <w:spacing w:line="360" w:lineRule="auto"/>
        <w:jc w:val="both"/>
        <w:rPr>
          <w:rFonts w:ascii="Times New Roman" w:hAnsi="Times New Roman" w:cs="Times New Roman"/>
          <w:sz w:val="24"/>
          <w:szCs w:val="24"/>
        </w:rPr>
      </w:pPr>
    </w:p>
    <w:p w14:paraId="4D7EDF4D">
      <w:pPr>
        <w:spacing w:line="360" w:lineRule="auto"/>
        <w:jc w:val="both"/>
        <w:rPr>
          <w:rFonts w:ascii="Times New Roman" w:hAnsi="Times New Roman" w:cs="Times New Roman"/>
          <w:sz w:val="24"/>
          <w:szCs w:val="24"/>
        </w:rPr>
      </w:pPr>
    </w:p>
    <w:p w14:paraId="4904348A">
      <w:pPr>
        <w:spacing w:line="360" w:lineRule="auto"/>
        <w:jc w:val="both"/>
        <w:rPr>
          <w:rFonts w:ascii="Times New Roman" w:hAnsi="Times New Roman" w:cs="Times New Roman"/>
          <w:sz w:val="24"/>
          <w:szCs w:val="24"/>
        </w:rPr>
      </w:pPr>
    </w:p>
    <w:p w14:paraId="10C96F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86AF171">
      <w:pPr>
        <w:rPr>
          <w:rFonts w:ascii="Times New Roman" w:hAnsi="Times New Roman" w:cs="Times New Roman"/>
          <w:sz w:val="24"/>
          <w:szCs w:val="24"/>
        </w:rPr>
        <w:sectPr>
          <w:pgSz w:w="11907" w:h="16839"/>
          <w:pgMar w:top="1440" w:right="1440" w:bottom="1440" w:left="1440" w:header="720" w:footer="720" w:gutter="0"/>
          <w:cols w:space="720" w:num="1"/>
          <w:docGrid w:linePitch="360" w:charSpace="0"/>
        </w:sectPr>
      </w:pPr>
      <w:r>
        <w:rPr>
          <w:rFonts w:ascii="Times New Roman" w:hAnsi="Times New Roman" w:cs="Times New Roman"/>
          <w:sz w:val="24"/>
          <w:szCs w:val="24"/>
        </w:rPr>
        <w:br w:type="page"/>
      </w:r>
    </w:p>
    <w:p w14:paraId="5EB5DD52">
      <w:pPr>
        <w:pStyle w:val="2"/>
      </w:pPr>
      <w:bookmarkStart w:id="0" w:name="_Toc233686167"/>
      <w:r>
        <w:t>TITLE PAGE</w:t>
      </w:r>
      <w:bookmarkEnd w:id="0"/>
    </w:p>
    <w:p w14:paraId="225BE689">
      <w:pPr>
        <w:pStyle w:val="9"/>
        <w:widowControl/>
        <w:spacing w:beforeAutospacing="0" w:after="0" w:afterAutospacing="0" w:line="21" w:lineRule="atLeast"/>
        <w:ind w:left="0" w:right="0" w:firstLine="0"/>
        <w:jc w:val="center"/>
        <w:rPr>
          <w:rFonts w:ascii="-webkit-standard" w:hAnsi="-webkit-standard" w:eastAsia="-webkit-standard" w:cs="-webkit-standard"/>
          <w:b w:val="0"/>
          <w:bCs w:val="0"/>
          <w:i w:val="0"/>
          <w:caps w:val="0"/>
          <w:color w:val="000000"/>
          <w:spacing w:val="0"/>
          <w:sz w:val="24"/>
          <w:szCs w:val="24"/>
        </w:rPr>
      </w:pPr>
      <w:r>
        <w:rPr>
          <w:rFonts w:hint="default" w:eastAsia="-webkit-standard" w:cs="Times New Roman"/>
          <w:b w:val="0"/>
          <w:bCs w:val="0"/>
          <w:i w:val="0"/>
          <w:caps w:val="0"/>
          <w:color w:val="000000"/>
          <w:spacing w:val="0"/>
          <w:sz w:val="24"/>
          <w:szCs w:val="24"/>
          <w:lang w:val="en-US"/>
        </w:rPr>
        <w:t xml:space="preserve">AN APPRAISAL OF THE </w:t>
      </w:r>
      <w:r>
        <w:rPr>
          <w:rFonts w:hint="default" w:ascii="Times New Roman" w:hAnsi="Times New Roman" w:eastAsia="-webkit-standard" w:cs="Times New Roman"/>
          <w:b w:val="0"/>
          <w:bCs w:val="0"/>
          <w:i w:val="0"/>
          <w:caps w:val="0"/>
          <w:color w:val="000000"/>
          <w:spacing w:val="0"/>
          <w:sz w:val="24"/>
          <w:szCs w:val="24"/>
        </w:rPr>
        <w:t>TAX REFORMS UNDER THE AHMED TINUBU’S ADMINISTRATION IN NIGERIA</w:t>
      </w:r>
    </w:p>
    <w:p w14:paraId="7E8E58F8">
      <w:pPr>
        <w:pStyle w:val="9"/>
        <w:widowControl/>
        <w:spacing w:beforeAutospacing="0" w:after="0" w:afterAutospacing="0" w:line="21" w:lineRule="atLeast"/>
        <w:ind w:left="0" w:right="0" w:firstLine="0"/>
        <w:jc w:val="left"/>
        <w:rPr>
          <w:rFonts w:hint="default" w:ascii="-webkit-standard" w:hAnsi="-webkit-standard" w:eastAsia="-webkit-standard" w:cs="-webkit-standard"/>
          <w:b w:val="0"/>
          <w:bCs w:val="0"/>
          <w:i w:val="0"/>
          <w:caps w:val="0"/>
          <w:color w:val="000000"/>
          <w:spacing w:val="0"/>
          <w:sz w:val="24"/>
          <w:szCs w:val="24"/>
        </w:rPr>
      </w:pPr>
      <w:r>
        <w:rPr>
          <w:rFonts w:hint="default" w:ascii="Times New Roman" w:hAnsi="Times New Roman" w:eastAsia="-webkit-standard" w:cs="Times New Roman"/>
          <w:b w:val="0"/>
          <w:bCs w:val="0"/>
          <w:i w:val="0"/>
          <w:caps w:val="0"/>
          <w:color w:val="000000"/>
          <w:spacing w:val="0"/>
          <w:sz w:val="24"/>
          <w:szCs w:val="24"/>
        </w:rPr>
        <w:t> </w:t>
      </w:r>
    </w:p>
    <w:p w14:paraId="5B5BC14E">
      <w:pPr>
        <w:pStyle w:val="9"/>
        <w:widowControl/>
        <w:spacing w:beforeAutospacing="0" w:after="0" w:afterAutospacing="0" w:line="21"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val="0"/>
          <w:bCs w:val="0"/>
          <w:i w:val="0"/>
          <w:caps w:val="0"/>
          <w:color w:val="000000"/>
          <w:spacing w:val="0"/>
          <w:sz w:val="24"/>
          <w:szCs w:val="24"/>
        </w:rPr>
        <w:t> </w:t>
      </w:r>
    </w:p>
    <w:p w14:paraId="07A5F40D">
      <w:pPr>
        <w:pStyle w:val="9"/>
        <w:widowControl/>
        <w:spacing w:beforeAutospacing="0" w:after="150" w:afterAutospacing="0" w:line="36"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i w:val="0"/>
          <w:caps w:val="0"/>
          <w:color w:val="000000"/>
          <w:spacing w:val="0"/>
          <w:sz w:val="18"/>
          <w:szCs w:val="18"/>
        </w:rPr>
        <w:t> </w:t>
      </w:r>
    </w:p>
    <w:p w14:paraId="648EA44A">
      <w:pPr>
        <w:pStyle w:val="9"/>
        <w:widowControl/>
        <w:spacing w:beforeAutospacing="0" w:after="150" w:afterAutospacing="0" w:line="36" w:lineRule="atLeast"/>
        <w:ind w:left="0" w:right="0" w:firstLine="0"/>
        <w:jc w:val="left"/>
        <w:rPr>
          <w:rFonts w:hint="default" w:ascii="-webkit-standard" w:hAnsi="-webkit-standard" w:eastAsia="-webkit-standard" w:cs="-webkit-standard"/>
          <w:i w:val="0"/>
          <w:caps w:val="0"/>
          <w:color w:val="000000"/>
          <w:spacing w:val="0"/>
          <w:sz w:val="27"/>
          <w:szCs w:val="27"/>
        </w:rPr>
      </w:pPr>
      <w:r>
        <w:rPr>
          <w:rFonts w:hint="default" w:ascii="Times New Roman" w:hAnsi="Times New Roman" w:eastAsia="-webkit-standard" w:cs="Times New Roman"/>
          <w:b/>
          <w:i w:val="0"/>
          <w:caps w:val="0"/>
          <w:color w:val="000000"/>
          <w:spacing w:val="0"/>
          <w:sz w:val="18"/>
          <w:szCs w:val="18"/>
        </w:rPr>
        <w:t> </w:t>
      </w:r>
    </w:p>
    <w:p w14:paraId="749E64EF">
      <w:pPr>
        <w:spacing w:line="360" w:lineRule="auto"/>
        <w:jc w:val="center"/>
        <w:rPr>
          <w:rFonts w:ascii="Times New Roman" w:hAnsi="Times New Roman" w:cs="Times New Roman"/>
          <w:sz w:val="24"/>
          <w:szCs w:val="24"/>
        </w:rPr>
      </w:pPr>
    </w:p>
    <w:p w14:paraId="09740170">
      <w:pPr>
        <w:spacing w:line="360" w:lineRule="auto"/>
        <w:jc w:val="center"/>
        <w:rPr>
          <w:rFonts w:ascii="Times New Roman" w:hAnsi="Times New Roman" w:cs="Times New Roman"/>
          <w:sz w:val="24"/>
          <w:szCs w:val="24"/>
        </w:rPr>
      </w:pPr>
    </w:p>
    <w:p w14:paraId="3FBE0874">
      <w:pPr>
        <w:spacing w:line="360" w:lineRule="auto"/>
        <w:jc w:val="center"/>
        <w:rPr>
          <w:rFonts w:ascii="Times New Roman" w:hAnsi="Times New Roman" w:cs="Times New Roman"/>
          <w:sz w:val="24"/>
          <w:szCs w:val="24"/>
        </w:rPr>
      </w:pPr>
      <w:r>
        <w:rPr>
          <w:rFonts w:ascii="Times New Roman" w:hAnsi="Times New Roman" w:cs="Times New Roman"/>
          <w:sz w:val="24"/>
          <w:szCs w:val="24"/>
        </w:rPr>
        <w:t>AFAM-ANI KAOSISOCHUKWU MAURA ADAOBI</w:t>
      </w:r>
    </w:p>
    <w:p w14:paraId="02E7810C">
      <w:pPr>
        <w:spacing w:line="360" w:lineRule="auto"/>
        <w:jc w:val="center"/>
        <w:rPr>
          <w:rFonts w:ascii="Times New Roman" w:hAnsi="Times New Roman" w:cs="Times New Roman"/>
          <w:sz w:val="24"/>
          <w:szCs w:val="24"/>
        </w:rPr>
      </w:pPr>
      <w:r>
        <w:rPr>
          <w:rFonts w:ascii="Times New Roman" w:hAnsi="Times New Roman" w:cs="Times New Roman"/>
          <w:sz w:val="24"/>
          <w:szCs w:val="24"/>
        </w:rPr>
        <w:t>GOU/U21/LAW/358</w:t>
      </w:r>
    </w:p>
    <w:p w14:paraId="6A1198AC">
      <w:pPr>
        <w:spacing w:line="360" w:lineRule="auto"/>
        <w:jc w:val="center"/>
        <w:rPr>
          <w:rFonts w:ascii="Times New Roman" w:hAnsi="Times New Roman" w:cs="Times New Roman"/>
          <w:sz w:val="24"/>
          <w:szCs w:val="24"/>
        </w:rPr>
      </w:pPr>
    </w:p>
    <w:p w14:paraId="02741115">
      <w:pPr>
        <w:spacing w:line="360" w:lineRule="auto"/>
        <w:jc w:val="center"/>
        <w:rPr>
          <w:rFonts w:ascii="Times New Roman" w:hAnsi="Times New Roman" w:cs="Times New Roman"/>
          <w:sz w:val="24"/>
          <w:szCs w:val="24"/>
        </w:rPr>
      </w:pPr>
    </w:p>
    <w:p w14:paraId="53D35E8B">
      <w:pPr>
        <w:spacing w:line="360" w:lineRule="auto"/>
        <w:jc w:val="center"/>
        <w:rPr>
          <w:rFonts w:ascii="Times New Roman" w:hAnsi="Times New Roman" w:cs="Times New Roman"/>
          <w:sz w:val="24"/>
          <w:szCs w:val="24"/>
        </w:rPr>
      </w:pPr>
    </w:p>
    <w:p w14:paraId="69822BB9">
      <w:pPr>
        <w:spacing w:line="360" w:lineRule="auto"/>
        <w:jc w:val="center"/>
        <w:rPr>
          <w:rFonts w:ascii="Times New Roman" w:hAnsi="Times New Roman" w:cs="Times New Roman"/>
          <w:sz w:val="24"/>
          <w:szCs w:val="24"/>
        </w:rPr>
      </w:pPr>
      <w:r>
        <w:rPr>
          <w:rFonts w:ascii="Times New Roman" w:hAnsi="Times New Roman" w:cs="Times New Roman"/>
          <w:sz w:val="24"/>
          <w:szCs w:val="24"/>
        </w:rPr>
        <w:t>BEING A LONG ESSAY PRESENTED TO THE FACULTY OF LAW, GODFREY OKOYE UNIVERSITY, ENUGU STATE, IN PARTIAL FULFILMENT OF THE REQUIREMENTS FOR THE AWARD FO THE BACHELOR OF LAW (LL.B) DEGREE</w:t>
      </w:r>
    </w:p>
    <w:p w14:paraId="2F7ED0AC">
      <w:pPr>
        <w:spacing w:line="360" w:lineRule="auto"/>
        <w:rPr>
          <w:rFonts w:ascii="Times New Roman" w:hAnsi="Times New Roman" w:cs="Times New Roman"/>
          <w:sz w:val="24"/>
          <w:szCs w:val="24"/>
        </w:rPr>
      </w:pPr>
    </w:p>
    <w:p w14:paraId="71E69563">
      <w:pPr>
        <w:spacing w:line="360" w:lineRule="auto"/>
        <w:rPr>
          <w:rFonts w:ascii="Times New Roman" w:hAnsi="Times New Roman" w:cs="Times New Roman"/>
          <w:sz w:val="24"/>
          <w:szCs w:val="24"/>
        </w:rPr>
      </w:pPr>
    </w:p>
    <w:p w14:paraId="4FC06E18">
      <w:pPr>
        <w:spacing w:line="360" w:lineRule="auto"/>
        <w:jc w:val="center"/>
        <w:rPr>
          <w:rFonts w:ascii="Times New Roman" w:hAnsi="Times New Roman" w:cs="Times New Roman"/>
          <w:sz w:val="24"/>
          <w:szCs w:val="24"/>
        </w:rPr>
      </w:pPr>
      <w:r>
        <w:rPr>
          <w:rFonts w:ascii="Times New Roman" w:hAnsi="Times New Roman" w:cs="Times New Roman"/>
          <w:sz w:val="24"/>
          <w:szCs w:val="24"/>
        </w:rPr>
        <w:t>SUPERVISOR: MRS. NWAKAEGO OGBAJI</w:t>
      </w:r>
    </w:p>
    <w:p w14:paraId="7BA6ED3E">
      <w:pPr>
        <w:spacing w:line="360" w:lineRule="auto"/>
        <w:jc w:val="both"/>
        <w:rPr>
          <w:rFonts w:ascii="Times New Roman" w:hAnsi="Times New Roman" w:cs="Times New Roman"/>
          <w:sz w:val="24"/>
          <w:szCs w:val="24"/>
        </w:rPr>
      </w:pPr>
    </w:p>
    <w:p w14:paraId="7B7CD2CD">
      <w:pPr>
        <w:spacing w:line="360" w:lineRule="auto"/>
        <w:jc w:val="center"/>
        <w:rPr>
          <w:rFonts w:ascii="Times New Roman" w:hAnsi="Times New Roman" w:cs="Times New Roman"/>
          <w:sz w:val="24"/>
          <w:szCs w:val="24"/>
        </w:rPr>
      </w:pPr>
      <w:r>
        <w:rPr>
          <w:rFonts w:ascii="Times New Roman" w:hAnsi="Times New Roman" w:cs="Times New Roman"/>
          <w:sz w:val="24"/>
          <w:szCs w:val="24"/>
        </w:rPr>
        <w:t>JULY 2026</w:t>
      </w:r>
    </w:p>
    <w:p w14:paraId="388F210E">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10FF9442">
      <w:pPr>
        <w:rPr>
          <w:rFonts w:ascii="Times New Roman" w:hAnsi="Times New Roman" w:cs="Times New Roman"/>
          <w:sz w:val="24"/>
          <w:szCs w:val="24"/>
        </w:rPr>
      </w:pPr>
      <w:r>
        <w:rPr>
          <w:rFonts w:ascii="Times New Roman" w:hAnsi="Times New Roman" w:cs="Times New Roman"/>
          <w:sz w:val="24"/>
          <w:szCs w:val="24"/>
        </w:rPr>
        <w:br w:type="page"/>
      </w:r>
    </w:p>
    <w:p w14:paraId="55DA7F1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drawing>
          <wp:inline distT="0" distB="0" distL="114300" distR="114300">
            <wp:extent cx="4732655" cy="6847840"/>
            <wp:effectExtent l="0" t="0" r="3175" b="2540"/>
            <wp:docPr id="2" name="Picture 2" descr="2026-07-24 10:18:59.36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6-07-24 10:18:59.367000"/>
                    <pic:cNvPicPr>
                      <a:picLocks noChangeAspect="1"/>
                    </pic:cNvPicPr>
                  </pic:nvPicPr>
                  <pic:blipFill>
                    <a:blip r:embed="rId9"/>
                    <a:stretch>
                      <a:fillRect/>
                    </a:stretch>
                  </pic:blipFill>
                  <pic:spPr>
                    <a:xfrm>
                      <a:off x="0" y="0"/>
                      <a:ext cx="4732655" cy="6847840"/>
                    </a:xfrm>
                    <a:prstGeom prst="rect">
                      <a:avLst/>
                    </a:prstGeom>
                  </pic:spPr>
                </pic:pic>
              </a:graphicData>
            </a:graphic>
          </wp:inline>
        </w:drawing>
      </w:r>
    </w:p>
    <w:p w14:paraId="1BD5FEF8">
      <w:pPr>
        <w:spacing w:line="360" w:lineRule="auto"/>
        <w:jc w:val="both"/>
        <w:rPr>
          <w:rFonts w:ascii="Times New Roman" w:hAnsi="Times New Roman" w:cs="Times New Roman"/>
          <w:sz w:val="24"/>
          <w:szCs w:val="24"/>
        </w:rPr>
      </w:pPr>
    </w:p>
    <w:p w14:paraId="64392132">
      <w:pPr>
        <w:spacing w:line="360" w:lineRule="auto"/>
        <w:jc w:val="both"/>
        <w:rPr>
          <w:rFonts w:ascii="Times New Roman" w:hAnsi="Times New Roman" w:cs="Times New Roman"/>
          <w:sz w:val="24"/>
          <w:szCs w:val="24"/>
        </w:rPr>
      </w:pPr>
    </w:p>
    <w:p w14:paraId="1587DC49">
      <w:pPr>
        <w:spacing w:line="360" w:lineRule="auto"/>
        <w:jc w:val="both"/>
        <w:rPr>
          <w:rFonts w:ascii="Times New Roman" w:hAnsi="Times New Roman" w:cs="Times New Roman"/>
          <w:sz w:val="24"/>
          <w:szCs w:val="24"/>
        </w:rPr>
      </w:pPr>
    </w:p>
    <w:p w14:paraId="582DCC45">
      <w:pPr>
        <w:spacing w:line="360" w:lineRule="auto"/>
        <w:jc w:val="both"/>
        <w:rPr>
          <w:rFonts w:ascii="Times New Roman" w:hAnsi="Times New Roman" w:cs="Times New Roman"/>
          <w:sz w:val="24"/>
          <w:szCs w:val="24"/>
        </w:rPr>
      </w:pPr>
    </w:p>
    <w:p w14:paraId="6A3A2C1C">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2D252399">
      <w:pPr>
        <w:rPr>
          <w:rFonts w:ascii="Times New Roman" w:hAnsi="Times New Roman" w:cs="Times New Roman"/>
          <w:sz w:val="24"/>
          <w:szCs w:val="24"/>
        </w:rPr>
      </w:pPr>
      <w:r>
        <w:rPr>
          <w:rFonts w:ascii="Times New Roman" w:hAnsi="Times New Roman" w:cs="Times New Roman"/>
          <w:sz w:val="24"/>
          <w:szCs w:val="24"/>
        </w:rPr>
        <w:br w:type="page"/>
      </w:r>
    </w:p>
    <w:p w14:paraId="2267C15E">
      <w:pPr>
        <w:spacing w:line="360" w:lineRule="auto"/>
        <w:jc w:val="both"/>
        <w:rPr>
          <w:rFonts w:ascii="Times New Roman" w:hAnsi="Times New Roman" w:cs="Times New Roman"/>
          <w:sz w:val="24"/>
          <w:szCs w:val="24"/>
          <w:lang w:val="en-US"/>
        </w:rPr>
      </w:pPr>
      <w:bookmarkStart w:id="79" w:name="_GoBack"/>
      <w:bookmarkEnd w:id="79"/>
      <w:r>
        <w:rPr>
          <w:rFonts w:ascii="Times New Roman" w:hAnsi="Times New Roman" w:cs="Times New Roman"/>
          <w:sz w:val="24"/>
          <w:szCs w:val="24"/>
          <w:lang w:val="en-US"/>
        </w:rPr>
        <w:drawing>
          <wp:inline distT="0" distB="0" distL="114300" distR="114300">
            <wp:extent cx="4636770" cy="7101840"/>
            <wp:effectExtent l="0" t="0" r="0" b="0"/>
            <wp:docPr id="1" name="Picture 1" descr="2026-07-24 10:18:10.1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26-07-24 10:18:10.111000"/>
                    <pic:cNvPicPr>
                      <a:picLocks noChangeAspect="1"/>
                    </pic:cNvPicPr>
                  </pic:nvPicPr>
                  <pic:blipFill>
                    <a:blip r:embed="rId10"/>
                    <a:stretch>
                      <a:fillRect/>
                    </a:stretch>
                  </pic:blipFill>
                  <pic:spPr>
                    <a:xfrm>
                      <a:off x="0" y="0"/>
                      <a:ext cx="4636770" cy="7101840"/>
                    </a:xfrm>
                    <a:prstGeom prst="rect">
                      <a:avLst/>
                    </a:prstGeom>
                  </pic:spPr>
                </pic:pic>
              </a:graphicData>
            </a:graphic>
          </wp:inline>
        </w:drawing>
      </w:r>
    </w:p>
    <w:p w14:paraId="5A8B6AA6">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6DDF51B3">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23AB64E6">
      <w:pPr>
        <w:rPr>
          <w:rFonts w:ascii="Times New Roman" w:hAnsi="Times New Roman" w:cs="Times New Roman"/>
          <w:sz w:val="24"/>
          <w:szCs w:val="24"/>
        </w:rPr>
      </w:pPr>
      <w:r>
        <w:rPr>
          <w:rFonts w:ascii="Times New Roman" w:hAnsi="Times New Roman" w:cs="Times New Roman"/>
          <w:sz w:val="24"/>
          <w:szCs w:val="24"/>
        </w:rPr>
        <w:br w:type="page"/>
      </w:r>
    </w:p>
    <w:p w14:paraId="5C70C921">
      <w:pPr>
        <w:pStyle w:val="2"/>
      </w:pPr>
      <w:bookmarkStart w:id="1" w:name="_Toc233686170"/>
      <w:r>
        <w:t>DEDICATION</w:t>
      </w:r>
      <w:bookmarkEnd w:id="1"/>
    </w:p>
    <w:p w14:paraId="6C311C45">
      <w:pPr>
        <w:jc w:val="both"/>
        <w:rPr>
          <w:rFonts w:ascii="Times New Roman" w:hAnsi="Times New Roman" w:cs="Times New Roman"/>
          <w:sz w:val="24"/>
          <w:szCs w:val="24"/>
        </w:rPr>
      </w:pPr>
      <w:r>
        <w:rPr>
          <w:rFonts w:ascii="Times New Roman" w:hAnsi="Times New Roman" w:cs="Times New Roman"/>
          <w:sz w:val="24"/>
          <w:szCs w:val="24"/>
        </w:rPr>
        <w:t>This work is dedicated to the Almighty God whose grace,mercy and faithfulness have sustained me throughout my academic journey.</w:t>
      </w:r>
    </w:p>
    <w:p w14:paraId="2D88D8C4">
      <w:pPr>
        <w:jc w:val="both"/>
        <w:rPr>
          <w:rFonts w:ascii="Times New Roman" w:hAnsi="Times New Roman" w:cs="Times New Roman"/>
          <w:sz w:val="24"/>
          <w:szCs w:val="24"/>
        </w:rPr>
      </w:pPr>
      <w:r>
        <w:rPr>
          <w:rFonts w:ascii="Times New Roman" w:hAnsi="Times New Roman" w:cs="Times New Roman"/>
          <w:sz w:val="24"/>
          <w:szCs w:val="24"/>
        </w:rPr>
        <w:t>It is also dedicated to my beloved parents for their endless love,sacrifices,support and encouragement. Their unwavering belief in my potential continues to inspire me to strive for excellence.</w:t>
      </w:r>
    </w:p>
    <w:p w14:paraId="647FA4B6">
      <w:pPr>
        <w:jc w:val="both"/>
        <w:rPr>
          <w:rFonts w:ascii="Times New Roman" w:hAnsi="Times New Roman" w:cs="Times New Roman"/>
          <w:sz w:val="24"/>
          <w:szCs w:val="24"/>
        </w:rPr>
      </w:pPr>
      <w:r>
        <w:rPr>
          <w:rFonts w:ascii="Times New Roman" w:hAnsi="Times New Roman" w:cs="Times New Roman"/>
          <w:sz w:val="24"/>
          <w:szCs w:val="24"/>
        </w:rPr>
        <w:t>And to me, for showing up every day, for staying through the hard parts, and for not giving up when it felt like the easier choice. It is a reminder of how far I have come, how much I have grown, and the future I'm working toward.</w:t>
      </w:r>
    </w:p>
    <w:p w14:paraId="1B403EF9">
      <w:pPr>
        <w:jc w:val="both"/>
        <w:rPr>
          <w:rFonts w:ascii="Times New Roman" w:hAnsi="Times New Roman" w:cs="Times New Roman"/>
          <w:sz w:val="24"/>
          <w:szCs w:val="24"/>
        </w:rPr>
      </w:pPr>
      <w:r>
        <w:rPr>
          <w:rFonts w:ascii="Times New Roman" w:hAnsi="Times New Roman" w:cs="Times New Roman"/>
          <w:sz w:val="24"/>
          <w:szCs w:val="24"/>
        </w:rPr>
        <w:t>This project is proof that with patience, faith, and effort, I can build the life I dream of!.</w:t>
      </w:r>
    </w:p>
    <w:p w14:paraId="605F7F68">
      <w:pPr>
        <w:spacing w:line="360" w:lineRule="auto"/>
        <w:jc w:val="both"/>
        <w:rPr>
          <w:rFonts w:ascii="Times New Roman" w:hAnsi="Times New Roman" w:cs="Times New Roman"/>
          <w:sz w:val="24"/>
          <w:szCs w:val="24"/>
        </w:rPr>
      </w:pPr>
    </w:p>
    <w:p w14:paraId="421B6B35">
      <w:pPr>
        <w:spacing w:line="360" w:lineRule="auto"/>
        <w:jc w:val="both"/>
        <w:rPr>
          <w:rFonts w:ascii="Times New Roman" w:hAnsi="Times New Roman" w:cs="Times New Roman"/>
          <w:sz w:val="24"/>
          <w:szCs w:val="24"/>
        </w:rPr>
      </w:pPr>
    </w:p>
    <w:p w14:paraId="181678A6">
      <w:pPr>
        <w:spacing w:line="360" w:lineRule="auto"/>
        <w:jc w:val="both"/>
        <w:rPr>
          <w:rFonts w:ascii="Times New Roman" w:hAnsi="Times New Roman" w:cs="Times New Roman"/>
          <w:sz w:val="24"/>
          <w:szCs w:val="24"/>
        </w:rPr>
      </w:pPr>
    </w:p>
    <w:p w14:paraId="1D642A1B">
      <w:pPr>
        <w:spacing w:line="360" w:lineRule="auto"/>
        <w:jc w:val="both"/>
        <w:rPr>
          <w:rFonts w:ascii="Times New Roman" w:hAnsi="Times New Roman" w:cs="Times New Roman"/>
          <w:sz w:val="24"/>
          <w:szCs w:val="24"/>
        </w:rPr>
      </w:pPr>
    </w:p>
    <w:p w14:paraId="5DEAC0FB">
      <w:pPr>
        <w:spacing w:line="360" w:lineRule="auto"/>
        <w:jc w:val="both"/>
        <w:rPr>
          <w:rFonts w:ascii="Times New Roman" w:hAnsi="Times New Roman" w:cs="Times New Roman"/>
          <w:sz w:val="24"/>
          <w:szCs w:val="24"/>
        </w:rPr>
      </w:pPr>
    </w:p>
    <w:p w14:paraId="7B72F4AD">
      <w:pPr>
        <w:spacing w:line="360" w:lineRule="auto"/>
        <w:jc w:val="both"/>
        <w:rPr>
          <w:rFonts w:ascii="Times New Roman" w:hAnsi="Times New Roman" w:cs="Times New Roman"/>
          <w:sz w:val="24"/>
          <w:szCs w:val="24"/>
        </w:rPr>
      </w:pPr>
    </w:p>
    <w:p w14:paraId="2C08669D">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76C767B5">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736FEC29">
      <w:pPr>
        <w:rPr>
          <w:rFonts w:ascii="Times New Roman" w:hAnsi="Times New Roman" w:cs="Times New Roman"/>
          <w:sz w:val="24"/>
          <w:szCs w:val="24"/>
        </w:rPr>
      </w:pPr>
      <w:r>
        <w:rPr>
          <w:rFonts w:ascii="Times New Roman" w:hAnsi="Times New Roman" w:cs="Times New Roman"/>
          <w:sz w:val="24"/>
          <w:szCs w:val="24"/>
        </w:rPr>
        <w:br w:type="page"/>
      </w:r>
    </w:p>
    <w:p w14:paraId="5CDCFEF7">
      <w:pPr>
        <w:pStyle w:val="2"/>
      </w:pPr>
      <w:bookmarkStart w:id="2" w:name="_Toc233686171"/>
      <w:r>
        <w:t>ACKNOWLEDGEMENTS</w:t>
      </w:r>
      <w:bookmarkEnd w:id="2"/>
    </w:p>
    <w:p w14:paraId="7E2CCAC2">
      <w:pPr>
        <w:jc w:val="both"/>
        <w:rPr>
          <w:rFonts w:ascii="Times New Roman" w:hAnsi="Times New Roman" w:cs="Times New Roman"/>
          <w:sz w:val="24"/>
        </w:rPr>
      </w:pPr>
      <w:r>
        <w:rPr>
          <w:rFonts w:ascii="Times New Roman" w:hAnsi="Times New Roman" w:cs="Times New Roman"/>
          <w:sz w:val="24"/>
          <w:szCs w:val="24"/>
          <w:lang w:val="en-US"/>
        </w:rPr>
        <w:t>I give thanks to the Almighty God for His grace, wisdom, strength and guidance throughout the cause of this study. Without his divine assistance, the successful completion of this work would not have been possible.</w:t>
      </w:r>
    </w:p>
    <w:p w14:paraId="1C714D0B">
      <w:pPr>
        <w:jc w:val="both"/>
        <w:rPr>
          <w:rFonts w:ascii="Times New Roman" w:hAnsi="Times New Roman" w:cs="Times New Roman"/>
          <w:sz w:val="24"/>
        </w:rPr>
      </w:pPr>
      <w:r>
        <w:rPr>
          <w:rFonts w:ascii="Times New Roman" w:hAnsi="Times New Roman" w:cs="Times New Roman"/>
          <w:sz w:val="24"/>
          <w:szCs w:val="24"/>
          <w:lang w:val="en-US"/>
        </w:rPr>
        <w:t>I extend my gratitude to my project supervisor, Mrs. Nwakaego Ogbaji Esq. whose guidance contributed to the completion of this work.</w:t>
      </w:r>
    </w:p>
    <w:p w14:paraId="3EFB6E7F">
      <w:pPr>
        <w:jc w:val="both"/>
        <w:rPr>
          <w:rFonts w:ascii="Times New Roman" w:hAnsi="Times New Roman" w:cs="Times New Roman"/>
          <w:sz w:val="24"/>
        </w:rPr>
      </w:pPr>
      <w:r>
        <w:rPr>
          <w:rFonts w:ascii="Times New Roman" w:hAnsi="Times New Roman" w:cs="Times New Roman"/>
          <w:sz w:val="24"/>
          <w:szCs w:val="24"/>
          <w:lang w:val="en-US"/>
        </w:rPr>
        <w:t>My appreciation also goes to my lecturers especially Prof. Gozie Ogbodo for the knowledge and insight they have imparted throughout my academic journey.</w:t>
      </w:r>
    </w:p>
    <w:p w14:paraId="1F94D97E">
      <w:pPr>
        <w:jc w:val="both"/>
        <w:rPr>
          <w:rFonts w:ascii="Times New Roman" w:hAnsi="Times New Roman" w:cs="Times New Roman"/>
          <w:sz w:val="24"/>
        </w:rPr>
      </w:pPr>
      <w:r>
        <w:rPr>
          <w:rFonts w:ascii="Times New Roman" w:hAnsi="Times New Roman" w:cs="Times New Roman"/>
          <w:sz w:val="24"/>
          <w:szCs w:val="24"/>
          <w:lang w:val="en-US"/>
        </w:rPr>
        <w:t>I am also very grateful to my siblings, Uncle Eva (my first client), Mrs. Chioma Onyia, Uncle Charles, Uncle Vena, Uncle Obinna, Fr. Afrifa. Your love,financial support,admiration and belief in me continually motivate me to strive for greater heights.</w:t>
      </w:r>
    </w:p>
    <w:p w14:paraId="39723903">
      <w:pPr>
        <w:jc w:val="both"/>
        <w:rPr>
          <w:rFonts w:ascii="Times New Roman" w:hAnsi="Times New Roman" w:cs="Times New Roman"/>
          <w:sz w:val="24"/>
        </w:rPr>
      </w:pPr>
      <w:r>
        <w:rPr>
          <w:rFonts w:ascii="Times New Roman" w:hAnsi="Times New Roman" w:cs="Times New Roman"/>
          <w:sz w:val="24"/>
          <w:szCs w:val="24"/>
          <w:lang w:val="en-US"/>
        </w:rPr>
        <w:t>I also appreciate my friends - Chiamaka, Vera, Ogechi, Chigozie, Olaedo, Precious, Chioma U., Pamela, Fega, Ronella, Olaedo, Kachi, Grace, Chris, Tonia, Munachi, Somto, Ekeoma, Seyi, Omimi, Hezes, Ekene, Austin, Tochi, Princess, Grateful, Sr. Vivian, Chinenye, Harry, Dera, Zico,  Excel, Tito, Michael, Jessica and every other person who provided moral support,useful suggestions and assistance in one way or the other during the course of this study.</w:t>
      </w:r>
    </w:p>
    <w:p w14:paraId="75C7CF66">
      <w:pPr>
        <w:jc w:val="both"/>
        <w:rPr>
          <w:rFonts w:ascii="Times New Roman" w:hAnsi="Times New Roman" w:cs="Times New Roman"/>
          <w:sz w:val="24"/>
          <w:szCs w:val="24"/>
        </w:rPr>
      </w:pPr>
      <w:r>
        <w:rPr>
          <w:rFonts w:ascii="Times New Roman" w:hAnsi="Times New Roman" w:cs="Times New Roman"/>
          <w:sz w:val="24"/>
          <w:szCs w:val="24"/>
          <w:lang w:val="en-US"/>
        </w:rPr>
        <w:t>I am deeply grateful to my amazing and ever supportive parents whose moral support, financial assistance, useful suggestions, prayers have been the foundation of my success. Your commitment to my education, your encouragement during difficult times, your unwavering belief in my abilities have shaped me into the person I am today. Every milestone I have achieved is a reflection of your dedication, hardwork and selflessness. No words can adequately express my gratitude for all you have done and continue to do for me. This accomplishment is as much yours as it is mine</w:t>
      </w:r>
    </w:p>
    <w:p w14:paraId="5504D332">
      <w:pPr>
        <w:spacing w:line="360" w:lineRule="auto"/>
        <w:jc w:val="both"/>
        <w:rPr>
          <w:rFonts w:ascii="Times New Roman" w:hAnsi="Times New Roman" w:cs="Times New Roman"/>
          <w:sz w:val="24"/>
          <w:szCs w:val="24"/>
        </w:rPr>
      </w:pPr>
    </w:p>
    <w:p w14:paraId="0934D9DE">
      <w:pPr>
        <w:spacing w:line="360" w:lineRule="auto"/>
        <w:jc w:val="both"/>
        <w:rPr>
          <w:rFonts w:ascii="Times New Roman" w:hAnsi="Times New Roman" w:cs="Times New Roman"/>
          <w:sz w:val="24"/>
          <w:szCs w:val="24"/>
        </w:rPr>
      </w:pPr>
    </w:p>
    <w:p w14:paraId="589F12FA">
      <w:pPr>
        <w:spacing w:line="360" w:lineRule="auto"/>
        <w:jc w:val="both"/>
        <w:rPr>
          <w:rFonts w:ascii="Times New Roman" w:hAnsi="Times New Roman" w:cs="Times New Roman"/>
          <w:sz w:val="24"/>
          <w:szCs w:val="24"/>
        </w:rPr>
      </w:pPr>
    </w:p>
    <w:p w14:paraId="257FBE64">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74DAD40B">
      <w:pPr>
        <w:rPr>
          <w:rFonts w:ascii="Times New Roman" w:hAnsi="Times New Roman" w:cs="Times New Roman"/>
          <w:sz w:val="24"/>
          <w:szCs w:val="24"/>
        </w:rPr>
      </w:pPr>
      <w:r>
        <w:rPr>
          <w:rFonts w:ascii="Times New Roman" w:hAnsi="Times New Roman" w:cs="Times New Roman"/>
          <w:sz w:val="24"/>
          <w:szCs w:val="24"/>
        </w:rPr>
        <w:br w:type="page"/>
      </w:r>
    </w:p>
    <w:p w14:paraId="3AA170E0">
      <w:pPr>
        <w:pStyle w:val="2"/>
      </w:pPr>
      <w:bookmarkStart w:id="3" w:name="_Toc233686172"/>
      <w:r>
        <w:t>TABLE OF CONTENT</w:t>
      </w:r>
      <w:bookmarkEnd w:id="3"/>
    </w:p>
    <w:sdt>
      <w:sdtPr>
        <w:rPr>
          <w:rFonts w:ascii="Times New Roman" w:hAnsi="Times New Roman" w:cs="Times New Roman"/>
        </w:rPr>
        <w:id w:val="117155369"/>
      </w:sdtPr>
      <w:sdtEndPr>
        <w:rPr>
          <w:rFonts w:ascii="Times New Roman" w:hAnsi="Times New Roman" w:cs="Times New Roman" w:eastAsiaTheme="minorHAnsi"/>
          <w:b w:val="0"/>
          <w:bCs w:val="0"/>
          <w:color w:val="auto"/>
          <w:sz w:val="22"/>
          <w:szCs w:val="22"/>
          <w:lang w:val="en-GB"/>
        </w:rPr>
      </w:sdtEndPr>
      <w:sdtContent>
        <w:p w14:paraId="0B5E5ED4">
          <w:pPr>
            <w:pStyle w:val="29"/>
            <w:rPr>
              <w:rFonts w:ascii="Times New Roman" w:hAnsi="Times New Roman" w:cs="Times New Roman"/>
            </w:rPr>
          </w:pPr>
        </w:p>
        <w:p w14:paraId="3C431ED8">
          <w:pPr>
            <w:pStyle w:val="10"/>
            <w:tabs>
              <w:tab w:val="right" w:leader="dot" w:pos="9017"/>
            </w:tabs>
            <w:rPr>
              <w:rFonts w:ascii="Times New Roman" w:hAnsi="Times New Roman" w:cs="Times New Roman" w:eastAsiaTheme="minorEastAsia"/>
              <w:lang w:val="en-US"/>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"_Toc233686167" </w:instrText>
          </w:r>
          <w:r>
            <w:fldChar w:fldCharType="separate"/>
          </w:r>
          <w:r>
            <w:rPr>
              <w:rStyle w:val="17"/>
              <w:rFonts w:ascii="Times New Roman" w:hAnsi="Times New Roman" w:cs="Times New Roman"/>
            </w:rPr>
            <w:t>TITLE PAGE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_Toc233686167 \h </w:instrText>
          </w:r>
          <w:r>
            <w:rPr>
              <w:rFonts w:ascii="Times New Roman" w:hAnsi="Times New Roman" w:cs="Times New Roman"/>
            </w:rPr>
            <w:fldChar w:fldCharType="separate"/>
          </w:r>
          <w:r>
            <w:rPr>
              <w:rFonts w:ascii="Times New Roman" w:hAnsi="Times New Roman" w:cs="Times New Roman"/>
            </w:rPr>
            <w:t>i</w:t>
          </w:r>
          <w:r>
            <w:rPr>
              <w:rFonts w:ascii="Times New Roman" w:hAnsi="Times New Roman" w:cs="Times New Roman"/>
            </w:rPr>
            <w:fldChar w:fldCharType="end"/>
          </w:r>
          <w:r>
            <w:rPr>
              <w:rFonts w:ascii="Times New Roman" w:hAnsi="Times New Roman" w:cs="Times New Roman"/>
            </w:rPr>
            <w:fldChar w:fldCharType="end"/>
          </w:r>
        </w:p>
        <w:p w14:paraId="1E28C6A1">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"_Toc233686168" </w:instrText>
          </w:r>
          <w:r>
            <w:fldChar w:fldCharType="separate"/>
          </w:r>
          <w:r>
            <w:rPr>
              <w:rStyle w:val="17"/>
              <w:rFonts w:ascii="Times New Roman" w:hAnsi="Times New Roman" w:cs="Times New Roman"/>
            </w:rPr>
            <w:t>DECLARATION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_Toc233686168 \h </w:instrText>
          </w:r>
          <w:r>
            <w:rPr>
              <w:rFonts w:ascii="Times New Roman" w:hAnsi="Times New Roman" w:cs="Times New Roman"/>
            </w:rPr>
            <w:fldChar w:fldCharType="separate"/>
          </w:r>
          <w:r>
            <w:rPr>
              <w:rFonts w:ascii="Times New Roman" w:hAnsi="Times New Roman" w:cs="Times New Roman"/>
            </w:rPr>
            <w:t>ii</w:t>
          </w:r>
          <w:r>
            <w:rPr>
              <w:rFonts w:ascii="Times New Roman" w:hAnsi="Times New Roman" w:cs="Times New Roman"/>
            </w:rPr>
            <w:fldChar w:fldCharType="end"/>
          </w:r>
          <w:r>
            <w:rPr>
              <w:rFonts w:ascii="Times New Roman" w:hAnsi="Times New Roman" w:cs="Times New Roman"/>
            </w:rPr>
            <w:fldChar w:fldCharType="end"/>
          </w:r>
        </w:p>
        <w:p w14:paraId="69DA1DD9">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"_Toc233686169" </w:instrText>
          </w:r>
          <w:r>
            <w:fldChar w:fldCharType="separate"/>
          </w:r>
          <w:r>
            <w:rPr>
              <w:rStyle w:val="17"/>
              <w:rFonts w:ascii="Times New Roman" w:hAnsi="Times New Roman" w:cs="Times New Roman"/>
            </w:rPr>
            <w:t>APPROVAL PAGE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_Toc233686169 \h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fldChar w:fldCharType="end"/>
          </w:r>
        </w:p>
        <w:p w14:paraId="2F1295E9">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"_Toc233686170" </w:instrText>
          </w:r>
          <w:r>
            <w:fldChar w:fldCharType="separate"/>
          </w:r>
          <w:r>
            <w:rPr>
              <w:rStyle w:val="17"/>
              <w:rFonts w:ascii="Times New Roman" w:hAnsi="Times New Roman" w:cs="Times New Roman"/>
            </w:rPr>
            <w:t>DEDICATION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_Toc233686170 \h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r>
            <w:rPr>
              <w:rFonts w:ascii="Times New Roman" w:hAnsi="Times New Roman" w:cs="Times New Roman"/>
            </w:rPr>
            <w:fldChar w:fldCharType="end"/>
          </w:r>
        </w:p>
        <w:p w14:paraId="27CA54F5">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"_Toc233686171" </w:instrText>
          </w:r>
          <w:r>
            <w:fldChar w:fldCharType="separate"/>
          </w:r>
          <w:r>
            <w:rPr>
              <w:rStyle w:val="17"/>
              <w:rFonts w:ascii="Times New Roman" w:hAnsi="Times New Roman" w:cs="Times New Roman"/>
            </w:rPr>
            <w:t>ACKNOWLEDGEMENTS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_Toc233686171 \h </w:instrText>
          </w:r>
          <w:r>
            <w:rPr>
              <w:rFonts w:ascii="Times New Roman" w:hAnsi="Times New Roman" w:cs="Times New Roman"/>
            </w:rPr>
            <w:fldChar w:fldCharType="separate"/>
          </w:r>
          <w:r>
            <w:rPr>
              <w:rFonts w:ascii="Times New Roman" w:hAnsi="Times New Roman" w:cs="Times New Roman"/>
            </w:rPr>
            <w:t>v</w:t>
          </w:r>
          <w:r>
            <w:rPr>
              <w:rFonts w:ascii="Times New Roman" w:hAnsi="Times New Roman" w:cs="Times New Roman"/>
            </w:rPr>
            <w:fldChar w:fldCharType="end"/>
          </w:r>
          <w:r>
            <w:rPr>
              <w:rFonts w:ascii="Times New Roman" w:hAnsi="Times New Roman" w:cs="Times New Roman"/>
            </w:rPr>
            <w:fldChar w:fldCharType="end"/>
          </w:r>
        </w:p>
        <w:p w14:paraId="2EE0ED9C">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"_Toc233686172" </w:instrText>
          </w:r>
          <w:r>
            <w:fldChar w:fldCharType="separate"/>
          </w:r>
          <w:r>
            <w:rPr>
              <w:rStyle w:val="17"/>
              <w:rFonts w:ascii="Times New Roman" w:hAnsi="Times New Roman" w:cs="Times New Roman"/>
            </w:rPr>
            <w:t>TABLE OF CONTENT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_Toc233686172 \h </w:instrText>
          </w:r>
          <w:r>
            <w:rPr>
              <w:rFonts w:ascii="Times New Roman" w:hAnsi="Times New Roman" w:cs="Times New Roman"/>
            </w:rPr>
            <w:fldChar w:fldCharType="separate"/>
          </w:r>
          <w:r>
            <w:rPr>
              <w:rFonts w:ascii="Times New Roman" w:hAnsi="Times New Roman" w:cs="Times New Roman"/>
            </w:rPr>
            <w:t>vi</w:t>
          </w:r>
          <w:r>
            <w:rPr>
              <w:rFonts w:ascii="Times New Roman" w:hAnsi="Times New Roman" w:cs="Times New Roman"/>
            </w:rPr>
            <w:fldChar w:fldCharType="end"/>
          </w:r>
          <w:r>
            <w:rPr>
              <w:rFonts w:ascii="Times New Roman" w:hAnsi="Times New Roman" w:cs="Times New Roman"/>
            </w:rPr>
            <w:fldChar w:fldCharType="end"/>
          </w:r>
        </w:p>
        <w:p w14:paraId="6F8FBFF8">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"_Toc233686173" </w:instrText>
          </w:r>
          <w:r>
            <w:fldChar w:fldCharType="separate"/>
          </w:r>
          <w:r>
            <w:rPr>
              <w:rStyle w:val="17"/>
              <w:rFonts w:ascii="Times New Roman" w:hAnsi="Times New Roman" w:cs="Times New Roman"/>
            </w:rPr>
            <w:t>LIST OF CASES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_Toc233686173 \h </w:instrText>
          </w:r>
          <w:r>
            <w:rPr>
              <w:rFonts w:ascii="Times New Roman" w:hAnsi="Times New Roman" w:cs="Times New Roman"/>
            </w:rPr>
            <w:fldChar w:fldCharType="separate"/>
          </w:r>
          <w:r>
            <w:rPr>
              <w:rFonts w:ascii="Times New Roman" w:hAnsi="Times New Roman" w:cs="Times New Roman"/>
            </w:rPr>
            <w:t>ix</w:t>
          </w:r>
          <w:r>
            <w:rPr>
              <w:rFonts w:ascii="Times New Roman" w:hAnsi="Times New Roman" w:cs="Times New Roman"/>
            </w:rPr>
            <w:fldChar w:fldCharType="end"/>
          </w:r>
          <w:r>
            <w:rPr>
              <w:rFonts w:ascii="Times New Roman" w:hAnsi="Times New Roman" w:cs="Times New Roman"/>
            </w:rPr>
            <w:fldChar w:fldCharType="end"/>
          </w:r>
        </w:p>
        <w:p w14:paraId="7083D23D">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"_Toc233686174" </w:instrText>
          </w:r>
          <w:r>
            <w:fldChar w:fldCharType="separate"/>
          </w:r>
          <w:r>
            <w:rPr>
              <w:rStyle w:val="17"/>
              <w:rFonts w:ascii="Times New Roman" w:hAnsi="Times New Roman" w:cs="Times New Roman"/>
            </w:rPr>
            <w:t>LIST OF STATUTES, TREATIES AND OTHER INTERNATIONAL INSTRUMENTS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_Toc233686174 \h </w:instrText>
          </w:r>
          <w:r>
            <w:rPr>
              <w:rFonts w:ascii="Times New Roman" w:hAnsi="Times New Roman" w:cs="Times New Roman"/>
            </w:rPr>
            <w:fldChar w:fldCharType="separate"/>
          </w:r>
          <w:r>
            <w:rPr>
              <w:rFonts w:ascii="Times New Roman" w:hAnsi="Times New Roman" w:cs="Times New Roman"/>
            </w:rPr>
            <w:t>x</w:t>
          </w:r>
          <w:r>
            <w:rPr>
              <w:rFonts w:ascii="Times New Roman" w:hAnsi="Times New Roman" w:cs="Times New Roman"/>
            </w:rPr>
            <w:fldChar w:fldCharType="end"/>
          </w:r>
          <w:r>
            <w:rPr>
              <w:rFonts w:ascii="Times New Roman" w:hAnsi="Times New Roman" w:cs="Times New Roman"/>
            </w:rPr>
            <w:fldChar w:fldCharType="end"/>
          </w:r>
        </w:p>
        <w:p w14:paraId="742315A3">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"_Toc233686175" </w:instrText>
          </w:r>
          <w:r>
            <w:fldChar w:fldCharType="separate"/>
          </w:r>
          <w:r>
            <w:rPr>
              <w:rStyle w:val="17"/>
              <w:rFonts w:ascii="Times New Roman" w:hAnsi="Times New Roman" w:cs="Times New Roman"/>
            </w:rPr>
            <w:t>ABSTRACT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_Toc233686175 \h </w:instrText>
          </w:r>
          <w:r>
            <w:rPr>
              <w:rFonts w:ascii="Times New Roman" w:hAnsi="Times New Roman" w:cs="Times New Roman"/>
            </w:rPr>
            <w:fldChar w:fldCharType="separate"/>
          </w:r>
          <w:r>
            <w:rPr>
              <w:rFonts w:ascii="Times New Roman" w:hAnsi="Times New Roman" w:cs="Times New Roman"/>
            </w:rPr>
            <w:t>xii</w:t>
          </w:r>
          <w:r>
            <w:rPr>
              <w:rFonts w:ascii="Times New Roman" w:hAnsi="Times New Roman" w:cs="Times New Roman"/>
            </w:rPr>
            <w:fldChar w:fldCharType="end"/>
          </w:r>
          <w:r>
            <w:rPr>
              <w:rFonts w:ascii="Times New Roman" w:hAnsi="Times New Roman" w:cs="Times New Roman"/>
            </w:rPr>
            <w:fldChar w:fldCharType="end"/>
          </w:r>
        </w:p>
        <w:p w14:paraId="65CC7973">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"_Toc233686176" </w:instrText>
          </w:r>
          <w:r>
            <w:fldChar w:fldCharType="separate"/>
          </w:r>
          <w:r>
            <w:rPr>
              <w:rStyle w:val="17"/>
              <w:rFonts w:ascii="Times New Roman" w:hAnsi="Times New Roman" w:cs="Times New Roman"/>
            </w:rPr>
            <w:t>CHAPTER ONE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_Toc233686176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3E714646">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"_Toc233686177" </w:instrText>
          </w:r>
          <w:r>
            <w:fldChar w:fldCharType="separate"/>
          </w:r>
          <w:r>
            <w:rPr>
              <w:rStyle w:val="17"/>
              <w:rFonts w:ascii="Times New Roman" w:hAnsi="Times New Roman" w:cs="Times New Roman"/>
            </w:rPr>
            <w:t>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_Toc233686177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51FC21FA">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"_Toc233686178" </w:instrText>
          </w:r>
          <w:r>
            <w:fldChar w:fldCharType="separate"/>
          </w:r>
          <w:r>
            <w:rPr>
              <w:rStyle w:val="17"/>
              <w:rFonts w:ascii="Times New Roman" w:hAnsi="Times New Roman" w:cs="Times New Roman"/>
            </w:rPr>
            <w:t xml:space="preserve">1.1 </w:t>
          </w:r>
          <w:r>
            <w:rPr>
              <w:rFonts w:ascii="Times New Roman" w:hAnsi="Times New Roman" w:cs="Times New Roman" w:eastAsiaTheme="minorEastAsia"/>
              <w:lang w:val="en-US"/>
            </w:rPr>
            <w:tab/>
          </w:r>
          <w:r>
            <w:rPr>
              <w:rStyle w:val="17"/>
              <w:rFonts w:ascii="Times New Roman" w:hAnsi="Times New Roman" w:cs="Times New Roman"/>
            </w:rPr>
            <w:t>Background to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_Toc233686178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0C2ED56E">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"_Toc233686179" </w:instrText>
          </w:r>
          <w:r>
            <w:fldChar w:fldCharType="separate"/>
          </w:r>
          <w:r>
            <w:rPr>
              <w:rStyle w:val="17"/>
              <w:rFonts w:ascii="Times New Roman" w:hAnsi="Times New Roman" w:cs="Times New Roman"/>
            </w:rPr>
            <w:t xml:space="preserve">1.2 </w:t>
          </w:r>
          <w:r>
            <w:rPr>
              <w:rFonts w:ascii="Times New Roman" w:hAnsi="Times New Roman" w:cs="Times New Roman" w:eastAsiaTheme="minorEastAsia"/>
              <w:lang w:val="en-US"/>
            </w:rPr>
            <w:tab/>
          </w:r>
          <w:r>
            <w:rPr>
              <w:rStyle w:val="17"/>
              <w:rFonts w:ascii="Times New Roman" w:hAnsi="Times New Roman" w:cs="Times New Roman"/>
            </w:rPr>
            <w:t>Statement of the Problem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_Toc233686179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14:paraId="7A4E57B1">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"_Toc233686180" </w:instrText>
          </w:r>
          <w:r>
            <w:fldChar w:fldCharType="separate"/>
          </w:r>
          <w:r>
            <w:rPr>
              <w:rStyle w:val="17"/>
              <w:rFonts w:ascii="Times New Roman" w:hAnsi="Times New Roman" w:cs="Times New Roman"/>
            </w:rPr>
            <w:t xml:space="preserve">1.3 </w:t>
          </w:r>
          <w:r>
            <w:rPr>
              <w:rFonts w:ascii="Times New Roman" w:hAnsi="Times New Roman" w:cs="Times New Roman" w:eastAsiaTheme="minorEastAsia"/>
              <w:lang w:val="en-US"/>
            </w:rPr>
            <w:tab/>
          </w:r>
          <w:r>
            <w:rPr>
              <w:rStyle w:val="17"/>
              <w:rFonts w:ascii="Times New Roman" w:hAnsi="Times New Roman" w:cs="Times New Roman"/>
            </w:rPr>
            <w:t>Research Questions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_Toc233686180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14:paraId="377DA473">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"_Toc233686181" </w:instrText>
          </w:r>
          <w:r>
            <w:fldChar w:fldCharType="separate"/>
          </w:r>
          <w:r>
            <w:rPr>
              <w:rStyle w:val="17"/>
              <w:rFonts w:ascii="Times New Roman" w:hAnsi="Times New Roman" w:cs="Times New Roman"/>
            </w:rPr>
            <w:t xml:space="preserve">1.4 </w:t>
          </w:r>
          <w:r>
            <w:rPr>
              <w:rFonts w:ascii="Times New Roman" w:hAnsi="Times New Roman" w:cs="Times New Roman" w:eastAsiaTheme="minorEastAsia"/>
              <w:lang w:val="en-US"/>
            </w:rPr>
            <w:tab/>
          </w:r>
          <w:r>
            <w:rPr>
              <w:rStyle w:val="17"/>
              <w:rFonts w:ascii="Times New Roman" w:hAnsi="Times New Roman" w:cs="Times New Roman"/>
            </w:rPr>
            <w:t>Aim and Objectives of the Research</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_Toc233686181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14:paraId="21C1D90E">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"_Toc233686182" </w:instrText>
          </w:r>
          <w:r>
            <w:fldChar w:fldCharType="separate"/>
          </w:r>
          <w:r>
            <w:rPr>
              <w:rStyle w:val="17"/>
              <w:rFonts w:ascii="Times New Roman" w:hAnsi="Times New Roman" w:cs="Times New Roman"/>
            </w:rPr>
            <w:t xml:space="preserve">1.5 </w:t>
          </w:r>
          <w:r>
            <w:rPr>
              <w:rFonts w:ascii="Times New Roman" w:hAnsi="Times New Roman" w:cs="Times New Roman" w:eastAsiaTheme="minorEastAsia"/>
              <w:lang w:val="en-US"/>
            </w:rPr>
            <w:tab/>
          </w:r>
          <w:r>
            <w:rPr>
              <w:rStyle w:val="17"/>
              <w:rFonts w:ascii="Times New Roman" w:hAnsi="Times New Roman" w:cs="Times New Roman"/>
            </w:rPr>
            <w:t>Research Methodology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_Toc233686182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14:paraId="57672B4E">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"_Toc233686183" </w:instrText>
          </w:r>
          <w:r>
            <w:fldChar w:fldCharType="separate"/>
          </w:r>
          <w:r>
            <w:rPr>
              <w:rStyle w:val="17"/>
              <w:rFonts w:ascii="Times New Roman" w:hAnsi="Times New Roman" w:cs="Times New Roman"/>
            </w:rPr>
            <w:t xml:space="preserve">1.6 </w:t>
          </w:r>
          <w:r>
            <w:rPr>
              <w:rFonts w:ascii="Times New Roman" w:hAnsi="Times New Roman" w:cs="Times New Roman" w:eastAsiaTheme="minorEastAsia"/>
              <w:lang w:val="en-US"/>
            </w:rPr>
            <w:tab/>
          </w:r>
          <w:r>
            <w:rPr>
              <w:rStyle w:val="17"/>
              <w:rFonts w:ascii="Times New Roman" w:hAnsi="Times New Roman" w:cs="Times New Roman"/>
            </w:rPr>
            <w:t>Significance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_Toc233686183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14:paraId="1849F1A1">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"_Toc233686184" </w:instrText>
          </w:r>
          <w:r>
            <w:fldChar w:fldCharType="separate"/>
          </w:r>
          <w:r>
            <w:rPr>
              <w:rStyle w:val="17"/>
              <w:rFonts w:ascii="Times New Roman" w:hAnsi="Times New Roman" w:cs="Times New Roman"/>
            </w:rPr>
            <w:t xml:space="preserve">1.7 </w:t>
          </w:r>
          <w:r>
            <w:rPr>
              <w:rFonts w:ascii="Times New Roman" w:hAnsi="Times New Roman" w:cs="Times New Roman" w:eastAsiaTheme="minorEastAsia"/>
              <w:lang w:val="en-US"/>
            </w:rPr>
            <w:tab/>
          </w:r>
          <w:r>
            <w:rPr>
              <w:rStyle w:val="17"/>
              <w:rFonts w:ascii="Times New Roman" w:hAnsi="Times New Roman" w:cs="Times New Roman"/>
            </w:rPr>
            <w:t>Scope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_Toc233686184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14:paraId="1E10A8F5">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"_Toc233686185" </w:instrText>
          </w:r>
          <w:r>
            <w:fldChar w:fldCharType="separate"/>
          </w:r>
          <w:r>
            <w:rPr>
              <w:rStyle w:val="17"/>
              <w:rFonts w:ascii="Times New Roman" w:hAnsi="Times New Roman" w:cs="Times New Roman"/>
            </w:rPr>
            <w:t xml:space="preserve">1.8 </w:t>
          </w:r>
          <w:r>
            <w:rPr>
              <w:rFonts w:ascii="Times New Roman" w:hAnsi="Times New Roman" w:cs="Times New Roman" w:eastAsiaTheme="minorEastAsia"/>
              <w:lang w:val="en-US"/>
            </w:rPr>
            <w:tab/>
          </w:r>
          <w:r>
            <w:rPr>
              <w:rStyle w:val="17"/>
              <w:rFonts w:ascii="Times New Roman" w:hAnsi="Times New Roman" w:cs="Times New Roman"/>
            </w:rPr>
            <w:t>Limitation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_Toc233686185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14:paraId="62792721">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"_Toc233686186" </w:instrText>
          </w:r>
          <w:r>
            <w:fldChar w:fldCharType="separate"/>
          </w:r>
          <w:r>
            <w:rPr>
              <w:rStyle w:val="17"/>
              <w:rFonts w:ascii="Times New Roman" w:hAnsi="Times New Roman" w:cs="Times New Roman"/>
            </w:rPr>
            <w:t xml:space="preserve">1.9 </w:t>
          </w:r>
          <w:r>
            <w:rPr>
              <w:rFonts w:ascii="Times New Roman" w:hAnsi="Times New Roman" w:cs="Times New Roman" w:eastAsiaTheme="minorEastAsia"/>
              <w:lang w:val="en-US"/>
            </w:rPr>
            <w:tab/>
          </w:r>
          <w:r>
            <w:rPr>
              <w:rStyle w:val="17"/>
              <w:rFonts w:ascii="Times New Roman" w:hAnsi="Times New Roman" w:cs="Times New Roman"/>
            </w:rPr>
            <w:t>Literature Review</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_Toc233686186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14:paraId="014C2E55">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"_Toc233686187" </w:instrText>
          </w:r>
          <w:r>
            <w:fldChar w:fldCharType="separate"/>
          </w:r>
          <w:r>
            <w:rPr>
              <w:rStyle w:val="17"/>
              <w:rFonts w:ascii="Times New Roman" w:hAnsi="Times New Roman" w:cs="Times New Roman"/>
            </w:rPr>
            <w:t>CHAPTER TWO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_Toc233686187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7837E04A">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"_Toc233686188" </w:instrText>
          </w:r>
          <w:r>
            <w:fldChar w:fldCharType="separate"/>
          </w:r>
          <w:r>
            <w:rPr>
              <w:rStyle w:val="17"/>
              <w:rFonts w:ascii="Times New Roman" w:hAnsi="Times New Roman" w:cs="Times New Roman"/>
            </w:rPr>
            <w:t>CONCEPTUAL AND THEORETICAL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_Toc233686188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55B5A178">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"_Toc233686189" </w:instrText>
          </w:r>
          <w:r>
            <w:fldChar w:fldCharType="separate"/>
          </w:r>
          <w:r>
            <w:rPr>
              <w:rStyle w:val="17"/>
              <w:rFonts w:ascii="Times New Roman" w:hAnsi="Times New Roman" w:cs="Times New Roman"/>
              <w:kern w:val="36"/>
            </w:rPr>
            <w:t xml:space="preserve">2.1 </w:t>
          </w:r>
          <w:r>
            <w:rPr>
              <w:rFonts w:ascii="Times New Roman" w:hAnsi="Times New Roman" w:cs="Times New Roman" w:eastAsiaTheme="minorEastAsia"/>
              <w:lang w:val="en-US"/>
            </w:rPr>
            <w:tab/>
          </w:r>
          <w:r>
            <w:rPr>
              <w:rStyle w:val="17"/>
              <w:rFonts w:ascii="Times New Roman" w:hAnsi="Times New Roman" w:cs="Times New Roman"/>
              <w:kern w:val="36"/>
            </w:rPr>
            <w:t>Conceptual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_Toc233686189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06F267B3">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"_Toc233686190" </w:instrText>
          </w:r>
          <w:r>
            <w:fldChar w:fldCharType="separate"/>
          </w:r>
          <w:r>
            <w:rPr>
              <w:rStyle w:val="17"/>
              <w:rFonts w:ascii="Times New Roman" w:hAnsi="Times New Roman" w:cs="Times New Roman"/>
            </w:rPr>
            <w:t xml:space="preserve">2.1.1 </w:t>
          </w:r>
          <w:r>
            <w:rPr>
              <w:rFonts w:ascii="Times New Roman" w:hAnsi="Times New Roman" w:cs="Times New Roman" w:eastAsiaTheme="minorEastAsia"/>
              <w:lang w:val="en-US"/>
            </w:rPr>
            <w:tab/>
          </w:r>
          <w:r>
            <w:rPr>
              <w:rStyle w:val="17"/>
              <w:rFonts w:ascii="Times New Roman" w:hAnsi="Times New Roman" w:cs="Times New Roman"/>
            </w:rPr>
            <w:t>Meaning of “Tax”</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_Toc233686190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784D27A8">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"_Toc233686191" </w:instrText>
          </w:r>
          <w:r>
            <w:fldChar w:fldCharType="separate"/>
          </w:r>
          <w:r>
            <w:rPr>
              <w:rStyle w:val="17"/>
              <w:rFonts w:ascii="Times New Roman" w:hAnsi="Times New Roman" w:cs="Times New Roman"/>
            </w:rPr>
            <w:t xml:space="preserve">2.1.2 </w:t>
          </w:r>
          <w:r>
            <w:rPr>
              <w:rFonts w:ascii="Times New Roman" w:hAnsi="Times New Roman" w:cs="Times New Roman" w:eastAsiaTheme="minorEastAsia"/>
              <w:lang w:val="en-US"/>
            </w:rPr>
            <w:tab/>
          </w:r>
          <w:r>
            <w:rPr>
              <w:rStyle w:val="17"/>
              <w:rFonts w:ascii="Times New Roman" w:hAnsi="Times New Roman" w:cs="Times New Roman"/>
            </w:rPr>
            <w:t>Types of Tax in Nigeria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_Toc233686191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14:paraId="6BC6C3FC">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"_Toc233686192" </w:instrText>
          </w:r>
          <w:r>
            <w:fldChar w:fldCharType="separate"/>
          </w:r>
          <w:r>
            <w:rPr>
              <w:rStyle w:val="17"/>
              <w:rFonts w:ascii="Times New Roman" w:hAnsi="Times New Roman" w:cs="Times New Roman"/>
            </w:rPr>
            <w:t xml:space="preserve">2.1.3 </w:t>
          </w:r>
          <w:r>
            <w:rPr>
              <w:rFonts w:ascii="Times New Roman" w:hAnsi="Times New Roman" w:cs="Times New Roman" w:eastAsiaTheme="minorEastAsia"/>
              <w:lang w:val="en-US"/>
            </w:rPr>
            <w:tab/>
          </w:r>
          <w:r>
            <w:rPr>
              <w:rStyle w:val="17"/>
              <w:rFonts w:ascii="Times New Roman" w:hAnsi="Times New Roman" w:cs="Times New Roman"/>
            </w:rPr>
            <w:t>Meaning of “Taxation”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_Toc233686192 \h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14:paraId="7A5C3479">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"_Toc233686193" </w:instrText>
          </w:r>
          <w:r>
            <w:fldChar w:fldCharType="separate"/>
          </w:r>
          <w:r>
            <w:rPr>
              <w:rStyle w:val="17"/>
              <w:rFonts w:ascii="Times New Roman" w:hAnsi="Times New Roman" w:cs="Times New Roman"/>
            </w:rPr>
            <w:t xml:space="preserve">2.1.4 </w:t>
          </w:r>
          <w:r>
            <w:rPr>
              <w:rFonts w:ascii="Times New Roman" w:hAnsi="Times New Roman" w:cs="Times New Roman" w:eastAsiaTheme="minorEastAsia"/>
              <w:lang w:val="en-US"/>
            </w:rPr>
            <w:tab/>
          </w:r>
          <w:r>
            <w:rPr>
              <w:rStyle w:val="17"/>
              <w:rFonts w:ascii="Times New Roman" w:hAnsi="Times New Roman" w:cs="Times New Roman"/>
            </w:rPr>
            <w:t>Concept of “Tax Reform”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_Toc233686193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14:paraId="14A8E2DD">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"_Toc233686194" </w:instrText>
          </w:r>
          <w:r>
            <w:fldChar w:fldCharType="separate"/>
          </w:r>
          <w:r>
            <w:rPr>
              <w:rStyle w:val="17"/>
              <w:rFonts w:ascii="Times New Roman" w:hAnsi="Times New Roman" w:cs="Times New Roman"/>
            </w:rPr>
            <w:t xml:space="preserve">2.2.1 </w:t>
          </w:r>
          <w:r>
            <w:rPr>
              <w:rFonts w:ascii="Times New Roman" w:hAnsi="Times New Roman" w:cs="Times New Roman" w:eastAsiaTheme="minorEastAsia"/>
              <w:lang w:val="en-US"/>
            </w:rPr>
            <w:tab/>
          </w:r>
          <w:r>
            <w:rPr>
              <w:rStyle w:val="17"/>
              <w:rFonts w:ascii="Times New Roman" w:hAnsi="Times New Roman" w:cs="Times New Roman"/>
            </w:rPr>
            <w:t>Natural Law Theory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_Toc233686194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14:paraId="4AD18E99">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"_Toc233686195" </w:instrText>
          </w:r>
          <w:r>
            <w:fldChar w:fldCharType="separate"/>
          </w:r>
          <w:r>
            <w:rPr>
              <w:rStyle w:val="17"/>
              <w:rFonts w:ascii="Times New Roman" w:hAnsi="Times New Roman" w:cs="Times New Roman"/>
            </w:rPr>
            <w:t xml:space="preserve">2.2.2 </w:t>
          </w:r>
          <w:r>
            <w:rPr>
              <w:rFonts w:ascii="Times New Roman" w:hAnsi="Times New Roman" w:cs="Times New Roman" w:eastAsiaTheme="minorEastAsia"/>
              <w:lang w:val="en-US"/>
            </w:rPr>
            <w:tab/>
          </w:r>
          <w:r>
            <w:rPr>
              <w:rStyle w:val="17"/>
              <w:rFonts w:ascii="Times New Roman" w:hAnsi="Times New Roman" w:cs="Times New Roman"/>
            </w:rPr>
            <w:t>Legal Positivism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_Toc233686195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14:paraId="06C04510">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"_Toc233686196" </w:instrText>
          </w:r>
          <w:r>
            <w:fldChar w:fldCharType="separate"/>
          </w:r>
          <w:r>
            <w:rPr>
              <w:rStyle w:val="17"/>
              <w:rFonts w:ascii="Times New Roman" w:hAnsi="Times New Roman" w:cs="Times New Roman"/>
            </w:rPr>
            <w:t xml:space="preserve">2.2.3 </w:t>
          </w:r>
          <w:r>
            <w:rPr>
              <w:rFonts w:ascii="Times New Roman" w:hAnsi="Times New Roman" w:cs="Times New Roman" w:eastAsiaTheme="minorEastAsia"/>
              <w:lang w:val="en-US"/>
            </w:rPr>
            <w:tab/>
          </w:r>
          <w:r>
            <w:rPr>
              <w:rStyle w:val="17"/>
              <w:rFonts w:ascii="Times New Roman" w:hAnsi="Times New Roman" w:cs="Times New Roman"/>
            </w:rPr>
            <w:t>Utilitarian Theory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_Toc233686196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14:paraId="1832D5B0">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"_Toc233686197" </w:instrText>
          </w:r>
          <w:r>
            <w:fldChar w:fldCharType="separate"/>
          </w:r>
          <w:r>
            <w:rPr>
              <w:rStyle w:val="17"/>
              <w:rFonts w:ascii="Times New Roman" w:hAnsi="Times New Roman" w:cs="Times New Roman"/>
            </w:rPr>
            <w:t>CHAPTER THREE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_Toc233686197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14:paraId="04E14608">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"_Toc233686198" </w:instrText>
          </w:r>
          <w:r>
            <w:fldChar w:fldCharType="separate"/>
          </w:r>
          <w:r>
            <w:rPr>
              <w:rStyle w:val="17"/>
              <w:rFonts w:ascii="Times New Roman" w:hAnsi="Times New Roman" w:cs="Times New Roman"/>
            </w:rPr>
            <w:t>LEGISLATIVE AND INSTITUTIONAL FRAMEWORK FOR TAXATION UNDER AHMED TINUBU’S ADMINISTRATION IN NIGERIA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_Toc233686198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14:paraId="1B215618">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"_Toc233686199" </w:instrText>
          </w:r>
          <w:r>
            <w:fldChar w:fldCharType="separate"/>
          </w:r>
          <w:r>
            <w:rPr>
              <w:rStyle w:val="17"/>
              <w:rFonts w:ascii="Times New Roman" w:hAnsi="Times New Roman" w:cs="Times New Roman"/>
              <w:kern w:val="36"/>
            </w:rPr>
            <w:t xml:space="preserve">3.1 </w:t>
          </w:r>
          <w:r>
            <w:rPr>
              <w:rFonts w:ascii="Times New Roman" w:hAnsi="Times New Roman" w:cs="Times New Roman" w:eastAsiaTheme="minorEastAsia"/>
              <w:lang w:val="en-US"/>
            </w:rPr>
            <w:tab/>
          </w:r>
          <w:r>
            <w:rPr>
              <w:rStyle w:val="17"/>
              <w:rFonts w:ascii="Times New Roman" w:hAnsi="Times New Roman" w:cs="Times New Roman"/>
              <w:kern w:val="36"/>
            </w:rPr>
            <w:t>Core Legislative Framework for Taxation under Ahmed Tinubu’s Administration in Nigeria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_Toc233686199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14:paraId="07AB4D77">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"_Toc233686200" </w:instrText>
          </w:r>
          <w:r>
            <w:fldChar w:fldCharType="separate"/>
          </w:r>
          <w:r>
            <w:rPr>
              <w:rStyle w:val="17"/>
              <w:rFonts w:ascii="Times New Roman" w:hAnsi="Times New Roman" w:cs="Times New Roman"/>
            </w:rPr>
            <w:t xml:space="preserve">3.1.1 </w:t>
          </w:r>
          <w:r>
            <w:rPr>
              <w:rFonts w:ascii="Times New Roman" w:hAnsi="Times New Roman" w:cs="Times New Roman" w:eastAsiaTheme="minorEastAsia"/>
              <w:lang w:val="en-US"/>
            </w:rPr>
            <w:tab/>
          </w:r>
          <w:r>
            <w:rPr>
              <w:rStyle w:val="17"/>
              <w:rFonts w:ascii="Times New Roman" w:hAnsi="Times New Roman" w:cs="Times New Roman"/>
            </w:rPr>
            <w:t>The Constitution of the Federal Republic of Nigeria 1999 (as amended)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_Toc233686200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14:paraId="6CC75A09">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"_Toc233686201" </w:instrText>
          </w:r>
          <w:r>
            <w:fldChar w:fldCharType="separate"/>
          </w:r>
          <w:r>
            <w:rPr>
              <w:rStyle w:val="17"/>
              <w:rFonts w:ascii="Times New Roman" w:hAnsi="Times New Roman" w:cs="Times New Roman"/>
            </w:rPr>
            <w:t xml:space="preserve">3.1.2 </w:t>
          </w:r>
          <w:r>
            <w:rPr>
              <w:rFonts w:ascii="Times New Roman" w:hAnsi="Times New Roman" w:cs="Times New Roman" w:eastAsiaTheme="minorEastAsia"/>
              <w:lang w:val="en-US"/>
            </w:rPr>
            <w:tab/>
          </w:r>
          <w:r>
            <w:rPr>
              <w:rStyle w:val="17"/>
              <w:rFonts w:ascii="Times New Roman" w:hAnsi="Times New Roman" w:cs="Times New Roman"/>
            </w:rPr>
            <w:t>Nigeria Tax Act (2025)</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_Toc233686201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14:paraId="322F4F25">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"_Toc233686202" </w:instrText>
          </w:r>
          <w:r>
            <w:fldChar w:fldCharType="separate"/>
          </w:r>
          <w:r>
            <w:rPr>
              <w:rStyle w:val="17"/>
              <w:rFonts w:ascii="Times New Roman" w:hAnsi="Times New Roman" w:cs="Times New Roman"/>
            </w:rPr>
            <w:t xml:space="preserve">3.1.3 </w:t>
          </w:r>
          <w:r>
            <w:rPr>
              <w:rFonts w:ascii="Times New Roman" w:hAnsi="Times New Roman" w:cs="Times New Roman" w:eastAsiaTheme="minorEastAsia"/>
              <w:lang w:val="en-US"/>
            </w:rPr>
            <w:tab/>
          </w:r>
          <w:r>
            <w:rPr>
              <w:rStyle w:val="17"/>
              <w:rFonts w:ascii="Times New Roman" w:hAnsi="Times New Roman" w:cs="Times New Roman"/>
            </w:rPr>
            <w:t>Nigeria Tax Administration Act (2025)</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_Toc233686202 \h </w:instrText>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r>
            <w:rPr>
              <w:rFonts w:ascii="Times New Roman" w:hAnsi="Times New Roman" w:cs="Times New Roman"/>
            </w:rPr>
            <w:fldChar w:fldCharType="end"/>
          </w:r>
        </w:p>
        <w:p w14:paraId="165CE0E3">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"_Toc233686203" </w:instrText>
          </w:r>
          <w:r>
            <w:fldChar w:fldCharType="separate"/>
          </w:r>
          <w:r>
            <w:rPr>
              <w:rStyle w:val="17"/>
              <w:rFonts w:ascii="Times New Roman" w:hAnsi="Times New Roman" w:cs="Times New Roman"/>
            </w:rPr>
            <w:t xml:space="preserve">3.1.4 </w:t>
          </w:r>
          <w:r>
            <w:rPr>
              <w:rFonts w:ascii="Times New Roman" w:hAnsi="Times New Roman" w:cs="Times New Roman" w:eastAsiaTheme="minorEastAsia"/>
              <w:lang w:val="en-US"/>
            </w:rPr>
            <w:tab/>
          </w:r>
          <w:r>
            <w:rPr>
              <w:rStyle w:val="17"/>
              <w:rFonts w:ascii="Times New Roman" w:hAnsi="Times New Roman" w:cs="Times New Roman"/>
            </w:rPr>
            <w:t>Nigeria Revenue Service Act (2025)</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_Toc233686203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5534B17A">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"_Toc233686204" </w:instrText>
          </w:r>
          <w:r>
            <w:fldChar w:fldCharType="separate"/>
          </w:r>
          <w:r>
            <w:rPr>
              <w:rStyle w:val="17"/>
              <w:rFonts w:ascii="Times New Roman" w:hAnsi="Times New Roman" w:cs="Times New Roman"/>
            </w:rPr>
            <w:t>3.1.5</w:t>
          </w:r>
          <w:r>
            <w:rPr>
              <w:rFonts w:ascii="Times New Roman" w:hAnsi="Times New Roman" w:cs="Times New Roman" w:eastAsiaTheme="minorEastAsia"/>
              <w:lang w:val="en-US"/>
            </w:rPr>
            <w:tab/>
          </w:r>
          <w:r>
            <w:rPr>
              <w:rStyle w:val="17"/>
              <w:rFonts w:ascii="Times New Roman" w:hAnsi="Times New Roman" w:cs="Times New Roman"/>
            </w:rPr>
            <w:t>Joint Revenue Board Act (2025)</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_Toc233686204 \h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r>
            <w:rPr>
              <w:rFonts w:ascii="Times New Roman" w:hAnsi="Times New Roman" w:cs="Times New Roman"/>
            </w:rPr>
            <w:fldChar w:fldCharType="end"/>
          </w:r>
        </w:p>
        <w:p w14:paraId="74BDFFB9">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"_Toc233686205" </w:instrText>
          </w:r>
          <w:r>
            <w:fldChar w:fldCharType="separate"/>
          </w:r>
          <w:r>
            <w:rPr>
              <w:rStyle w:val="17"/>
              <w:rFonts w:ascii="Times New Roman" w:hAnsi="Times New Roman" w:cs="Times New Roman"/>
            </w:rPr>
            <w:t xml:space="preserve">3.1.6 </w:t>
          </w:r>
          <w:r>
            <w:rPr>
              <w:rFonts w:ascii="Times New Roman" w:hAnsi="Times New Roman" w:cs="Times New Roman" w:eastAsiaTheme="minorEastAsia"/>
              <w:lang w:val="en-US"/>
            </w:rPr>
            <w:tab/>
          </w:r>
          <w:r>
            <w:rPr>
              <w:rStyle w:val="17"/>
              <w:rFonts w:ascii="Times New Roman" w:hAnsi="Times New Roman" w:cs="Times New Roman"/>
            </w:rPr>
            <w:t>Finance Act 2023</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_Toc233686205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fldChar w:fldCharType="end"/>
          </w:r>
        </w:p>
        <w:p w14:paraId="1CB42A32">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"_Toc233686206" </w:instrText>
          </w:r>
          <w:r>
            <w:fldChar w:fldCharType="separate"/>
          </w:r>
          <w:r>
            <w:rPr>
              <w:rStyle w:val="17"/>
              <w:rFonts w:ascii="Times New Roman" w:hAnsi="Times New Roman" w:cs="Times New Roman"/>
            </w:rPr>
            <w:t xml:space="preserve">3.1.7 </w:t>
          </w:r>
          <w:r>
            <w:rPr>
              <w:rFonts w:ascii="Times New Roman" w:hAnsi="Times New Roman" w:cs="Times New Roman" w:eastAsiaTheme="minorEastAsia"/>
              <w:lang w:val="en-US"/>
            </w:rPr>
            <w:tab/>
          </w:r>
          <w:r>
            <w:rPr>
              <w:rStyle w:val="17"/>
              <w:rFonts w:ascii="Times New Roman" w:hAnsi="Times New Roman" w:cs="Times New Roman"/>
            </w:rPr>
            <w:t>Nigeria Customs Service Act (2023)</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_Toc233686206 \h </w:instrText>
          </w:r>
          <w:r>
            <w:rPr>
              <w:rFonts w:ascii="Times New Roman" w:hAnsi="Times New Roman" w:cs="Times New Roman"/>
            </w:rPr>
            <w:fldChar w:fldCharType="separate"/>
          </w:r>
          <w:r>
            <w:rPr>
              <w:rFonts w:ascii="Times New Roman" w:hAnsi="Times New Roman" w:cs="Times New Roman"/>
            </w:rPr>
            <w:t>34</w:t>
          </w:r>
          <w:r>
            <w:rPr>
              <w:rFonts w:ascii="Times New Roman" w:hAnsi="Times New Roman" w:cs="Times New Roman"/>
            </w:rPr>
            <w:fldChar w:fldCharType="end"/>
          </w:r>
          <w:r>
            <w:rPr>
              <w:rFonts w:ascii="Times New Roman" w:hAnsi="Times New Roman" w:cs="Times New Roman"/>
            </w:rPr>
            <w:fldChar w:fldCharType="end"/>
          </w:r>
        </w:p>
        <w:p w14:paraId="646AD62A">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"_Toc233686207" </w:instrText>
          </w:r>
          <w:r>
            <w:fldChar w:fldCharType="separate"/>
          </w:r>
          <w:r>
            <w:rPr>
              <w:rStyle w:val="17"/>
              <w:rFonts w:ascii="Times New Roman" w:hAnsi="Times New Roman" w:cs="Times New Roman"/>
              <w:kern w:val="36"/>
            </w:rPr>
            <w:t xml:space="preserve">3.2 </w:t>
          </w:r>
          <w:r>
            <w:rPr>
              <w:rFonts w:ascii="Times New Roman" w:hAnsi="Times New Roman" w:cs="Times New Roman" w:eastAsiaTheme="minorEastAsia"/>
              <w:lang w:val="en-US"/>
            </w:rPr>
            <w:tab/>
          </w:r>
          <w:r>
            <w:rPr>
              <w:rStyle w:val="17"/>
              <w:rFonts w:ascii="Times New Roman" w:hAnsi="Times New Roman" w:cs="Times New Roman"/>
              <w:kern w:val="36"/>
            </w:rPr>
            <w:t>Core Institutional Framework for Taxation in Nigeria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_Toc233686207 \h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ascii="Times New Roman" w:hAnsi="Times New Roman" w:cs="Times New Roman"/>
            </w:rPr>
            <w:fldChar w:fldCharType="end"/>
          </w:r>
        </w:p>
        <w:p w14:paraId="3CD87FEC">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"_Toc233686208" </w:instrText>
          </w:r>
          <w:r>
            <w:fldChar w:fldCharType="separate"/>
          </w:r>
          <w:r>
            <w:rPr>
              <w:rStyle w:val="17"/>
              <w:rFonts w:ascii="Times New Roman" w:hAnsi="Times New Roman" w:cs="Times New Roman"/>
            </w:rPr>
            <w:t xml:space="preserve">3.2.1 </w:t>
          </w:r>
          <w:r>
            <w:rPr>
              <w:rFonts w:ascii="Times New Roman" w:hAnsi="Times New Roman" w:cs="Times New Roman" w:eastAsiaTheme="minorEastAsia"/>
              <w:lang w:val="en-US"/>
            </w:rPr>
            <w:tab/>
          </w:r>
          <w:r>
            <w:rPr>
              <w:rStyle w:val="17"/>
              <w:rFonts w:ascii="Times New Roman" w:hAnsi="Times New Roman" w:cs="Times New Roman"/>
            </w:rPr>
            <w:t>Nigeria Revenue Service (NRS)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_Toc233686208 \h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ascii="Times New Roman" w:hAnsi="Times New Roman" w:cs="Times New Roman"/>
            </w:rPr>
            <w:fldChar w:fldCharType="end"/>
          </w:r>
        </w:p>
        <w:p w14:paraId="01E06450">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"_Toc233686209" </w:instrText>
          </w:r>
          <w:r>
            <w:fldChar w:fldCharType="separate"/>
          </w:r>
          <w:r>
            <w:rPr>
              <w:rStyle w:val="17"/>
              <w:rFonts w:ascii="Times New Roman" w:hAnsi="Times New Roman" w:cs="Times New Roman"/>
            </w:rPr>
            <w:t xml:space="preserve">3.2.2 </w:t>
          </w:r>
          <w:r>
            <w:rPr>
              <w:rFonts w:ascii="Times New Roman" w:hAnsi="Times New Roman" w:cs="Times New Roman" w:eastAsiaTheme="minorEastAsia"/>
              <w:lang w:val="en-US"/>
            </w:rPr>
            <w:tab/>
          </w:r>
          <w:r>
            <w:rPr>
              <w:rStyle w:val="17"/>
              <w:rFonts w:ascii="Times New Roman" w:hAnsi="Times New Roman" w:cs="Times New Roman"/>
            </w:rPr>
            <w:t>Federal Ministry of Finance (FMF) / Minister of Finance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_Toc233686209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14:paraId="302B1731">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"_Toc233686210" </w:instrText>
          </w:r>
          <w:r>
            <w:fldChar w:fldCharType="separate"/>
          </w:r>
          <w:r>
            <w:rPr>
              <w:rStyle w:val="17"/>
              <w:rFonts w:ascii="Times New Roman" w:hAnsi="Times New Roman" w:cs="Times New Roman"/>
            </w:rPr>
            <w:t xml:space="preserve">3.2.3 </w:t>
          </w:r>
          <w:r>
            <w:rPr>
              <w:rFonts w:ascii="Times New Roman" w:hAnsi="Times New Roman" w:cs="Times New Roman" w:eastAsiaTheme="minorEastAsia"/>
              <w:lang w:val="en-US"/>
            </w:rPr>
            <w:tab/>
          </w:r>
          <w:r>
            <w:rPr>
              <w:rStyle w:val="17"/>
              <w:rFonts w:ascii="Times New Roman" w:hAnsi="Times New Roman" w:cs="Times New Roman"/>
            </w:rPr>
            <w:t>Joint Revenue Board (JRB)</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_Toc233686210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14:paraId="6DF244A0">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"_Toc233686211" </w:instrText>
          </w:r>
          <w:r>
            <w:fldChar w:fldCharType="separate"/>
          </w:r>
          <w:r>
            <w:rPr>
              <w:rStyle w:val="17"/>
              <w:rFonts w:ascii="Times New Roman" w:hAnsi="Times New Roman" w:cs="Times New Roman"/>
            </w:rPr>
            <w:t xml:space="preserve">3.2.4 </w:t>
          </w:r>
          <w:r>
            <w:rPr>
              <w:rFonts w:ascii="Times New Roman" w:hAnsi="Times New Roman" w:cs="Times New Roman" w:eastAsiaTheme="minorEastAsia"/>
              <w:lang w:val="en-US"/>
            </w:rPr>
            <w:tab/>
          </w:r>
          <w:r>
            <w:rPr>
              <w:rStyle w:val="17"/>
              <w:rFonts w:ascii="Times New Roman" w:hAnsi="Times New Roman" w:cs="Times New Roman"/>
            </w:rPr>
            <w:t>Tax Appeal Tribunal (TAT)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_Toc233686211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14:paraId="5336F3D8">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"_Toc233686212" </w:instrText>
          </w:r>
          <w:r>
            <w:fldChar w:fldCharType="separate"/>
          </w:r>
          <w:r>
            <w:rPr>
              <w:rStyle w:val="17"/>
              <w:rFonts w:ascii="Times New Roman" w:hAnsi="Times New Roman" w:cs="Times New Roman"/>
            </w:rPr>
            <w:t xml:space="preserve">3.2.5 </w:t>
          </w:r>
          <w:r>
            <w:rPr>
              <w:rFonts w:ascii="Times New Roman" w:hAnsi="Times New Roman" w:cs="Times New Roman" w:eastAsiaTheme="minorEastAsia"/>
              <w:lang w:val="en-US"/>
            </w:rPr>
            <w:tab/>
          </w:r>
          <w:r>
            <w:rPr>
              <w:rStyle w:val="17"/>
              <w:rFonts w:ascii="Times New Roman" w:hAnsi="Times New Roman" w:cs="Times New Roman"/>
            </w:rPr>
            <w:t>Office of the Tax Ombud (Tax Ombudsman)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_Toc233686212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14:paraId="582F193E">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"_Toc233686213" </w:instrText>
          </w:r>
          <w:r>
            <w:fldChar w:fldCharType="separate"/>
          </w:r>
          <w:r>
            <w:rPr>
              <w:rStyle w:val="17"/>
              <w:rFonts w:ascii="Times New Roman" w:hAnsi="Times New Roman" w:cs="Times New Roman"/>
            </w:rPr>
            <w:t xml:space="preserve">3.2.6 </w:t>
          </w:r>
          <w:r>
            <w:rPr>
              <w:rFonts w:ascii="Times New Roman" w:hAnsi="Times New Roman" w:cs="Times New Roman" w:eastAsiaTheme="minorEastAsia"/>
              <w:lang w:val="en-US"/>
            </w:rPr>
            <w:tab/>
          </w:r>
          <w:r>
            <w:rPr>
              <w:rStyle w:val="17"/>
              <w:rFonts w:ascii="Times New Roman" w:hAnsi="Times New Roman" w:cs="Times New Roman"/>
            </w:rPr>
            <w:t>State Internal Revenue Services (SIRS)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_Toc233686213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14:paraId="0E9326D3">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"_Toc233686214" </w:instrText>
          </w:r>
          <w:r>
            <w:fldChar w:fldCharType="separate"/>
          </w:r>
          <w:r>
            <w:rPr>
              <w:rStyle w:val="17"/>
              <w:rFonts w:ascii="Times New Roman" w:hAnsi="Times New Roman" w:cs="Times New Roman"/>
            </w:rPr>
            <w:t xml:space="preserve">3.2.7 </w:t>
          </w:r>
          <w:r>
            <w:rPr>
              <w:rFonts w:ascii="Times New Roman" w:hAnsi="Times New Roman" w:cs="Times New Roman" w:eastAsiaTheme="minorEastAsia"/>
              <w:lang w:val="en-US"/>
            </w:rPr>
            <w:tab/>
          </w:r>
          <w:r>
            <w:rPr>
              <w:rStyle w:val="17"/>
              <w:rFonts w:ascii="Times New Roman" w:hAnsi="Times New Roman" w:cs="Times New Roman"/>
            </w:rPr>
            <w:t>Local government revenue committees/structures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_Toc233686214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14:paraId="0804A859">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"_Toc233686215" </w:instrText>
          </w:r>
          <w:r>
            <w:fldChar w:fldCharType="separate"/>
          </w:r>
          <w:r>
            <w:rPr>
              <w:rStyle w:val="17"/>
              <w:rFonts w:ascii="Times New Roman" w:hAnsi="Times New Roman" w:cs="Times New Roman"/>
            </w:rPr>
            <w:t xml:space="preserve">3.2.8 </w:t>
          </w:r>
          <w:r>
            <w:rPr>
              <w:rFonts w:ascii="Times New Roman" w:hAnsi="Times New Roman" w:cs="Times New Roman" w:eastAsiaTheme="minorEastAsia"/>
              <w:lang w:val="en-US"/>
            </w:rPr>
            <w:tab/>
          </w:r>
          <w:r>
            <w:rPr>
              <w:rStyle w:val="17"/>
              <w:rFonts w:ascii="Times New Roman" w:hAnsi="Times New Roman" w:cs="Times New Roman"/>
            </w:rPr>
            <w:t>Nigeria Customs Service (NCS).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_Toc233686215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34E2C177">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"_Toc233686216" </w:instrText>
          </w:r>
          <w:r>
            <w:fldChar w:fldCharType="separate"/>
          </w:r>
          <w:r>
            <w:rPr>
              <w:rStyle w:val="17"/>
              <w:rFonts w:ascii="Times New Roman" w:hAnsi="Times New Roman" w:cs="Times New Roman"/>
            </w:rPr>
            <w:t xml:space="preserve">3.2.9 </w:t>
          </w:r>
          <w:r>
            <w:rPr>
              <w:rFonts w:ascii="Times New Roman" w:hAnsi="Times New Roman" w:cs="Times New Roman" w:eastAsiaTheme="minorEastAsia"/>
              <w:lang w:val="en-US"/>
            </w:rPr>
            <w:tab/>
          </w:r>
          <w:r>
            <w:rPr>
              <w:rStyle w:val="17"/>
              <w:rFonts w:ascii="Times New Roman" w:hAnsi="Times New Roman" w:cs="Times New Roman"/>
            </w:rPr>
            <w:t>The Judiciary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_Toc233686216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263643A4">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"_Toc233686217" </w:instrText>
          </w:r>
          <w:r>
            <w:fldChar w:fldCharType="separate"/>
          </w:r>
          <w:r>
            <w:rPr>
              <w:rStyle w:val="17"/>
              <w:rFonts w:ascii="Times New Roman" w:hAnsi="Times New Roman" w:cs="Times New Roman"/>
            </w:rPr>
            <w:t xml:space="preserve">3.2.10 </w:t>
          </w:r>
          <w:r>
            <w:rPr>
              <w:rFonts w:ascii="Times New Roman" w:hAnsi="Times New Roman" w:cs="Times New Roman" w:eastAsiaTheme="minorEastAsia"/>
              <w:lang w:val="en-US"/>
            </w:rPr>
            <w:tab/>
          </w:r>
          <w:r>
            <w:rPr>
              <w:rStyle w:val="17"/>
              <w:rFonts w:ascii="Times New Roman" w:hAnsi="Times New Roman" w:cs="Times New Roman"/>
            </w:rPr>
            <w:t>Presidential Committee on Fiscal Policy and Tax Reforms (PFPTRC)</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_Toc233686217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14:paraId="5B8ADE40">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"_Toc233686218" </w:instrText>
          </w:r>
          <w:r>
            <w:fldChar w:fldCharType="separate"/>
          </w:r>
          <w:r>
            <w:rPr>
              <w:rStyle w:val="17"/>
              <w:rFonts w:ascii="Times New Roman" w:hAnsi="Times New Roman" w:cs="Times New Roman"/>
            </w:rPr>
            <w:t>CHAPTER FOUR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_Toc233686218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14:paraId="033AA2F9">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"_Toc233686219" </w:instrText>
          </w:r>
          <w:r>
            <w:fldChar w:fldCharType="separate"/>
          </w:r>
          <w:r>
            <w:rPr>
              <w:rStyle w:val="17"/>
              <w:rFonts w:ascii="Times New Roman" w:hAnsi="Times New Roman" w:cs="Times New Roman"/>
            </w:rPr>
            <w:t>EXAMINING THE TAX REFORMS UNDER THE AHMED TINUBU’S ADMINISTRATION IN NIGERIA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_Toc233686219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14:paraId="12B1BE93">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"_Toc233686220" </w:instrText>
          </w:r>
          <w:r>
            <w:fldChar w:fldCharType="separate"/>
          </w:r>
          <w:r>
            <w:rPr>
              <w:rStyle w:val="17"/>
              <w:rFonts w:ascii="Times New Roman" w:hAnsi="Times New Roman" w:cs="Times New Roman"/>
              <w:kern w:val="36"/>
            </w:rPr>
            <w:t xml:space="preserve">4.1 </w:t>
          </w:r>
          <w:r>
            <w:rPr>
              <w:rFonts w:ascii="Times New Roman" w:hAnsi="Times New Roman" w:cs="Times New Roman" w:eastAsiaTheme="minorEastAsia"/>
              <w:lang w:val="en-US"/>
            </w:rPr>
            <w:tab/>
          </w:r>
          <w:r>
            <w:rPr>
              <w:rStyle w:val="17"/>
              <w:rFonts w:ascii="Times New Roman" w:hAnsi="Times New Roman" w:cs="Times New Roman"/>
              <w:kern w:val="36"/>
            </w:rPr>
            <w:t>Tax Reforms under the Ahmed Tinubu’s Administration in Nigeria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_Toc233686220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14:paraId="2FC98D4A">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"_Toc233686221" </w:instrText>
          </w:r>
          <w:r>
            <w:fldChar w:fldCharType="separate"/>
          </w:r>
          <w:r>
            <w:rPr>
              <w:rStyle w:val="17"/>
              <w:rFonts w:ascii="Times New Roman" w:hAnsi="Times New Roman" w:cs="Times New Roman"/>
            </w:rPr>
            <w:t xml:space="preserve">4.1.1 </w:t>
          </w:r>
          <w:r>
            <w:rPr>
              <w:rFonts w:ascii="Times New Roman" w:hAnsi="Times New Roman" w:cs="Times New Roman" w:eastAsiaTheme="minorEastAsia"/>
              <w:lang w:val="en-US"/>
            </w:rPr>
            <w:tab/>
          </w:r>
          <w:r>
            <w:rPr>
              <w:rStyle w:val="17"/>
              <w:rFonts w:ascii="Times New Roman" w:hAnsi="Times New Roman" w:cs="Times New Roman"/>
            </w:rPr>
            <w:t>Enactment of a new “Tax Reform Acts” package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_Toc233686221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14:paraId="620CD650">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"_Toc233686222" </w:instrText>
          </w:r>
          <w:r>
            <w:fldChar w:fldCharType="separate"/>
          </w:r>
          <w:r>
            <w:rPr>
              <w:rStyle w:val="17"/>
              <w:rFonts w:ascii="Times New Roman" w:hAnsi="Times New Roman" w:cs="Times New Roman"/>
            </w:rPr>
            <w:t xml:space="preserve">4.1.2 </w:t>
          </w:r>
          <w:r>
            <w:rPr>
              <w:rFonts w:ascii="Times New Roman" w:hAnsi="Times New Roman" w:cs="Times New Roman" w:eastAsiaTheme="minorEastAsia"/>
              <w:lang w:val="en-US"/>
            </w:rPr>
            <w:tab/>
          </w:r>
          <w:r>
            <w:rPr>
              <w:rStyle w:val="17"/>
              <w:rFonts w:ascii="Times New Roman" w:hAnsi="Times New Roman" w:cs="Times New Roman"/>
            </w:rPr>
            <w:t>VAT reforms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_Toc233686222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14:paraId="2AC55783">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"_Toc233686223" </w:instrText>
          </w:r>
          <w:r>
            <w:fldChar w:fldCharType="separate"/>
          </w:r>
          <w:r>
            <w:rPr>
              <w:rStyle w:val="17"/>
              <w:rFonts w:ascii="Times New Roman" w:hAnsi="Times New Roman" w:cs="Times New Roman"/>
            </w:rPr>
            <w:t xml:space="preserve">4.1.3 </w:t>
          </w:r>
          <w:r>
            <w:rPr>
              <w:rFonts w:ascii="Times New Roman" w:hAnsi="Times New Roman" w:cs="Times New Roman" w:eastAsiaTheme="minorEastAsia"/>
              <w:lang w:val="en-US"/>
            </w:rPr>
            <w:tab/>
          </w:r>
          <w:r>
            <w:rPr>
              <w:rStyle w:val="17"/>
              <w:rFonts w:ascii="Times New Roman" w:hAnsi="Times New Roman" w:cs="Times New Roman"/>
            </w:rPr>
            <w:t>Income and capital gains reforms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_Toc233686223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14:paraId="2D877C44">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"_Toc233686224" </w:instrText>
          </w:r>
          <w:r>
            <w:fldChar w:fldCharType="separate"/>
          </w:r>
          <w:r>
            <w:rPr>
              <w:rStyle w:val="17"/>
              <w:rFonts w:ascii="Times New Roman" w:hAnsi="Times New Roman" w:cs="Times New Roman"/>
            </w:rPr>
            <w:t xml:space="preserve">4.1.4 </w:t>
          </w:r>
          <w:r>
            <w:rPr>
              <w:rFonts w:ascii="Times New Roman" w:hAnsi="Times New Roman" w:cs="Times New Roman" w:eastAsiaTheme="minorEastAsia"/>
              <w:lang w:val="en-US"/>
            </w:rPr>
            <w:tab/>
          </w:r>
          <w:r>
            <w:rPr>
              <w:rStyle w:val="17"/>
              <w:rFonts w:ascii="Times New Roman" w:hAnsi="Times New Roman" w:cs="Times New Roman"/>
            </w:rPr>
            <w:t>Institutional reform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_Toc233686224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14:paraId="2F938868">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"_Toc233686225" </w:instrText>
          </w:r>
          <w:r>
            <w:fldChar w:fldCharType="separate"/>
          </w:r>
          <w:r>
            <w:rPr>
              <w:rStyle w:val="17"/>
              <w:rFonts w:ascii="Times New Roman" w:hAnsi="Times New Roman" w:cs="Times New Roman"/>
            </w:rPr>
            <w:t xml:space="preserve">4.1.5 </w:t>
          </w:r>
          <w:r>
            <w:rPr>
              <w:rFonts w:ascii="Times New Roman" w:hAnsi="Times New Roman" w:cs="Times New Roman" w:eastAsiaTheme="minorEastAsia"/>
              <w:lang w:val="en-US"/>
            </w:rPr>
            <w:tab/>
          </w:r>
          <w:r>
            <w:rPr>
              <w:rStyle w:val="17"/>
              <w:rFonts w:ascii="Times New Roman" w:hAnsi="Times New Roman" w:cs="Times New Roman"/>
            </w:rPr>
            <w:t>Tax administration reforms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_Toc233686225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14:paraId="05A3937B">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"_Toc233686226" </w:instrText>
          </w:r>
          <w:r>
            <w:fldChar w:fldCharType="separate"/>
          </w:r>
          <w:r>
            <w:rPr>
              <w:rStyle w:val="17"/>
              <w:rFonts w:ascii="Times New Roman" w:hAnsi="Times New Roman" w:cs="Times New Roman"/>
            </w:rPr>
            <w:t xml:space="preserve">4.1.6 </w:t>
          </w:r>
          <w:r>
            <w:rPr>
              <w:rFonts w:ascii="Times New Roman" w:hAnsi="Times New Roman" w:cs="Times New Roman" w:eastAsiaTheme="minorEastAsia"/>
              <w:lang w:val="en-US"/>
            </w:rPr>
            <w:tab/>
          </w:r>
          <w:r>
            <w:rPr>
              <w:rStyle w:val="17"/>
              <w:rFonts w:ascii="Times New Roman" w:hAnsi="Times New Roman" w:cs="Times New Roman"/>
            </w:rPr>
            <w:t>National e-Invoicing / Electronic Fiscal System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_Toc233686226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14:paraId="1332D443">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"_Toc233686227" </w:instrText>
          </w:r>
          <w:r>
            <w:fldChar w:fldCharType="separate"/>
          </w:r>
          <w:r>
            <w:rPr>
              <w:rStyle w:val="17"/>
              <w:rFonts w:ascii="Times New Roman" w:hAnsi="Times New Roman" w:cs="Times New Roman"/>
            </w:rPr>
            <w:t xml:space="preserve">4.1.7 </w:t>
          </w:r>
          <w:r>
            <w:rPr>
              <w:rFonts w:ascii="Times New Roman" w:hAnsi="Times New Roman" w:cs="Times New Roman" w:eastAsiaTheme="minorEastAsia"/>
              <w:lang w:val="en-US"/>
            </w:rPr>
            <w:tab/>
          </w:r>
          <w:r>
            <w:rPr>
              <w:rStyle w:val="17"/>
              <w:rFonts w:ascii="Times New Roman" w:hAnsi="Times New Roman" w:cs="Times New Roman"/>
            </w:rPr>
            <w:t>Withholding tax reform on short-term instruments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_Toc233686227 \h </w:instrText>
          </w:r>
          <w:r>
            <w:rPr>
              <w:rFonts w:ascii="Times New Roman" w:hAnsi="Times New Roman" w:cs="Times New Roman"/>
            </w:rPr>
            <w:fldChar w:fldCharType="separate"/>
          </w:r>
          <w:r>
            <w:rPr>
              <w:rFonts w:ascii="Times New Roman" w:hAnsi="Times New Roman" w:cs="Times New Roman"/>
            </w:rPr>
            <w:t>48</w:t>
          </w:r>
          <w:r>
            <w:rPr>
              <w:rFonts w:ascii="Times New Roman" w:hAnsi="Times New Roman" w:cs="Times New Roman"/>
            </w:rPr>
            <w:fldChar w:fldCharType="end"/>
          </w:r>
          <w:r>
            <w:rPr>
              <w:rFonts w:ascii="Times New Roman" w:hAnsi="Times New Roman" w:cs="Times New Roman"/>
            </w:rPr>
            <w:fldChar w:fldCharType="end"/>
          </w:r>
        </w:p>
        <w:p w14:paraId="33669F63">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"_Toc233686228" </w:instrText>
          </w:r>
          <w:r>
            <w:fldChar w:fldCharType="separate"/>
          </w:r>
          <w:r>
            <w:rPr>
              <w:rStyle w:val="17"/>
              <w:rFonts w:ascii="Times New Roman" w:hAnsi="Times New Roman" w:cs="Times New Roman"/>
            </w:rPr>
            <w:t xml:space="preserve">4.2 </w:t>
          </w:r>
          <w:r>
            <w:rPr>
              <w:rFonts w:ascii="Times New Roman" w:hAnsi="Times New Roman" w:cs="Times New Roman" w:eastAsiaTheme="minorEastAsia"/>
              <w:lang w:val="en-US"/>
            </w:rPr>
            <w:tab/>
          </w:r>
          <w:r>
            <w:rPr>
              <w:rStyle w:val="17"/>
              <w:rFonts w:ascii="Times New Roman" w:hAnsi="Times New Roman" w:cs="Times New Roman"/>
            </w:rPr>
            <w:t>Impacts of the Tax Reforms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_Toc233686228 \h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14:paraId="7F20F4C0">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"_Toc233686229" </w:instrText>
          </w:r>
          <w:r>
            <w:fldChar w:fldCharType="separate"/>
          </w:r>
          <w:r>
            <w:rPr>
              <w:rStyle w:val="17"/>
              <w:rFonts w:ascii="Times New Roman" w:hAnsi="Times New Roman" w:cs="Times New Roman"/>
            </w:rPr>
            <w:t xml:space="preserve">4.2.1 </w:t>
          </w:r>
          <w:r>
            <w:rPr>
              <w:rFonts w:ascii="Times New Roman" w:hAnsi="Times New Roman" w:cs="Times New Roman" w:eastAsiaTheme="minorEastAsia"/>
              <w:lang w:val="en-US"/>
            </w:rPr>
            <w:tab/>
          </w:r>
          <w:r>
            <w:rPr>
              <w:rStyle w:val="17"/>
              <w:rFonts w:ascii="Times New Roman" w:hAnsi="Times New Roman" w:cs="Times New Roman"/>
            </w:rPr>
            <w:t>Impact on government revenue and fiscal sustainability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_Toc233686229 \h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14:paraId="2EE03912">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"_Toc233686230" </w:instrText>
          </w:r>
          <w:r>
            <w:fldChar w:fldCharType="separate"/>
          </w:r>
          <w:r>
            <w:rPr>
              <w:rStyle w:val="17"/>
              <w:rFonts w:ascii="Times New Roman" w:hAnsi="Times New Roman" w:cs="Times New Roman"/>
            </w:rPr>
            <w:t xml:space="preserve">4.2.2 </w:t>
          </w:r>
          <w:r>
            <w:rPr>
              <w:rFonts w:ascii="Times New Roman" w:hAnsi="Times New Roman" w:cs="Times New Roman" w:eastAsiaTheme="minorEastAsia"/>
              <w:lang w:val="en-US"/>
            </w:rPr>
            <w:tab/>
          </w:r>
          <w:r>
            <w:rPr>
              <w:rStyle w:val="17"/>
              <w:rFonts w:ascii="Times New Roman" w:hAnsi="Times New Roman" w:cs="Times New Roman"/>
            </w:rPr>
            <w:t>Impact on businesses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_Toc233686230 \h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14:paraId="143A5492">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"_Toc233686231" </w:instrText>
          </w:r>
          <w:r>
            <w:fldChar w:fldCharType="separate"/>
          </w:r>
          <w:r>
            <w:rPr>
              <w:rStyle w:val="17"/>
              <w:rFonts w:ascii="Times New Roman" w:hAnsi="Times New Roman" w:cs="Times New Roman"/>
            </w:rPr>
            <w:t xml:space="preserve">4.2.3 </w:t>
          </w:r>
          <w:r>
            <w:rPr>
              <w:rFonts w:ascii="Times New Roman" w:hAnsi="Times New Roman" w:cs="Times New Roman" w:eastAsiaTheme="minorEastAsia"/>
              <w:lang w:val="en-US"/>
            </w:rPr>
            <w:tab/>
          </w:r>
          <w:r>
            <w:rPr>
              <w:rStyle w:val="17"/>
              <w:rFonts w:ascii="Times New Roman" w:hAnsi="Times New Roman" w:cs="Times New Roman"/>
            </w:rPr>
            <w:t>Impact on households and cost of living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_Toc233686231 \h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fldChar w:fldCharType="end"/>
          </w:r>
        </w:p>
        <w:p w14:paraId="6C86DB43">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"_Toc233686232" </w:instrText>
          </w:r>
          <w:r>
            <w:fldChar w:fldCharType="separate"/>
          </w:r>
          <w:r>
            <w:rPr>
              <w:rStyle w:val="17"/>
              <w:rFonts w:ascii="Times New Roman" w:hAnsi="Times New Roman" w:cs="Times New Roman"/>
            </w:rPr>
            <w:t xml:space="preserve">4.2.4 </w:t>
          </w:r>
          <w:r>
            <w:rPr>
              <w:rFonts w:ascii="Times New Roman" w:hAnsi="Times New Roman" w:cs="Times New Roman" w:eastAsiaTheme="minorEastAsia"/>
              <w:lang w:val="en-US"/>
            </w:rPr>
            <w:tab/>
          </w:r>
          <w:r>
            <w:rPr>
              <w:rStyle w:val="17"/>
              <w:rFonts w:ascii="Times New Roman" w:hAnsi="Times New Roman" w:cs="Times New Roman"/>
            </w:rPr>
            <w:t>Impact on investment and employment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_Toc233686232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503C894B">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"_Toc233686233" </w:instrText>
          </w:r>
          <w:r>
            <w:fldChar w:fldCharType="separate"/>
          </w:r>
          <w:r>
            <w:rPr>
              <w:rStyle w:val="17"/>
              <w:rFonts w:ascii="Times New Roman" w:hAnsi="Times New Roman" w:cs="Times New Roman"/>
            </w:rPr>
            <w:t xml:space="preserve">4.2.5 </w:t>
          </w:r>
          <w:r>
            <w:rPr>
              <w:rFonts w:ascii="Times New Roman" w:hAnsi="Times New Roman" w:cs="Times New Roman" w:eastAsiaTheme="minorEastAsia"/>
              <w:lang w:val="en-US"/>
            </w:rPr>
            <w:tab/>
          </w:r>
          <w:r>
            <w:rPr>
              <w:rStyle w:val="17"/>
              <w:rFonts w:ascii="Times New Roman" w:hAnsi="Times New Roman" w:cs="Times New Roman"/>
            </w:rPr>
            <w:t>Impact on tax compliance culture and administrative efficiency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_Toc233686233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34C9DE5A">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"_Toc233686234" </w:instrText>
          </w:r>
          <w:r>
            <w:fldChar w:fldCharType="separate"/>
          </w:r>
          <w:r>
            <w:rPr>
              <w:rStyle w:val="17"/>
              <w:rFonts w:ascii="Times New Roman" w:hAnsi="Times New Roman" w:cs="Times New Roman"/>
              <w:kern w:val="36"/>
            </w:rPr>
            <w:t xml:space="preserve">4.3 </w:t>
          </w:r>
          <w:r>
            <w:rPr>
              <w:rFonts w:ascii="Times New Roman" w:hAnsi="Times New Roman" w:cs="Times New Roman" w:eastAsiaTheme="minorEastAsia"/>
              <w:lang w:val="en-US"/>
            </w:rPr>
            <w:tab/>
          </w:r>
          <w:r>
            <w:rPr>
              <w:rStyle w:val="17"/>
              <w:rFonts w:ascii="Times New Roman" w:hAnsi="Times New Roman" w:cs="Times New Roman"/>
              <w:kern w:val="36"/>
            </w:rPr>
            <w:t>Challenges in the Implementation of the Tax Reforms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_Toc233686234 \h </w:instrText>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ascii="Times New Roman" w:hAnsi="Times New Roman" w:cs="Times New Roman"/>
            </w:rPr>
            <w:fldChar w:fldCharType="end"/>
          </w:r>
        </w:p>
        <w:p w14:paraId="194F94EF">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"_Toc233686235" </w:instrText>
          </w:r>
          <w:r>
            <w:fldChar w:fldCharType="separate"/>
          </w:r>
          <w:r>
            <w:rPr>
              <w:rStyle w:val="17"/>
              <w:rFonts w:ascii="Times New Roman" w:hAnsi="Times New Roman" w:cs="Times New Roman"/>
            </w:rPr>
            <w:t xml:space="preserve">4.3.1 </w:t>
          </w:r>
          <w:r>
            <w:rPr>
              <w:rFonts w:ascii="Times New Roman" w:hAnsi="Times New Roman" w:cs="Times New Roman" w:eastAsiaTheme="minorEastAsia"/>
              <w:lang w:val="en-US"/>
            </w:rPr>
            <w:tab/>
          </w:r>
          <w:r>
            <w:rPr>
              <w:rStyle w:val="17"/>
              <w:rFonts w:ascii="Times New Roman" w:hAnsi="Times New Roman" w:cs="Times New Roman"/>
            </w:rPr>
            <w:t>Multiple taxation and overlapping mandates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_Toc233686235 \h </w:instrText>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ascii="Times New Roman" w:hAnsi="Times New Roman" w:cs="Times New Roman"/>
            </w:rPr>
            <w:fldChar w:fldCharType="end"/>
          </w:r>
        </w:p>
        <w:p w14:paraId="1D892C86">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"_Toc233686236" </w:instrText>
          </w:r>
          <w:r>
            <w:fldChar w:fldCharType="separate"/>
          </w:r>
          <w:r>
            <w:rPr>
              <w:rStyle w:val="17"/>
              <w:rFonts w:ascii="Times New Roman" w:hAnsi="Times New Roman" w:cs="Times New Roman"/>
            </w:rPr>
            <w:t xml:space="preserve">4.3.2 </w:t>
          </w:r>
          <w:r>
            <w:rPr>
              <w:rFonts w:ascii="Times New Roman" w:hAnsi="Times New Roman" w:cs="Times New Roman" w:eastAsiaTheme="minorEastAsia"/>
              <w:lang w:val="en-US"/>
            </w:rPr>
            <w:tab/>
          </w:r>
          <w:r>
            <w:rPr>
              <w:rStyle w:val="17"/>
              <w:rFonts w:ascii="Times New Roman" w:hAnsi="Times New Roman" w:cs="Times New Roman"/>
            </w:rPr>
            <w:t>Legal fragmentation and uncertainty in transition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_Toc233686236 \h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rPr>
            <w:fldChar w:fldCharType="end"/>
          </w:r>
        </w:p>
        <w:p w14:paraId="31B563B0">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"_Toc233686237" </w:instrText>
          </w:r>
          <w:r>
            <w:fldChar w:fldCharType="separate"/>
          </w:r>
          <w:r>
            <w:rPr>
              <w:rStyle w:val="17"/>
              <w:rFonts w:ascii="Times New Roman" w:hAnsi="Times New Roman" w:cs="Times New Roman"/>
            </w:rPr>
            <w:t xml:space="preserve">4.3.3 </w:t>
          </w:r>
          <w:r>
            <w:rPr>
              <w:rFonts w:ascii="Times New Roman" w:hAnsi="Times New Roman" w:cs="Times New Roman" w:eastAsiaTheme="minorEastAsia"/>
              <w:lang w:val="en-US"/>
            </w:rPr>
            <w:tab/>
          </w:r>
          <w:r>
            <w:rPr>
              <w:rStyle w:val="17"/>
              <w:rFonts w:ascii="Times New Roman" w:hAnsi="Times New Roman" w:cs="Times New Roman"/>
            </w:rPr>
            <w:t>Weak coordination among agencies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_Toc233686237 \h </w:instrText>
          </w:r>
          <w:r>
            <w:rPr>
              <w:rFonts w:ascii="Times New Roman" w:hAnsi="Times New Roman" w:cs="Times New Roman"/>
            </w:rPr>
            <w:fldChar w:fldCharType="separate"/>
          </w:r>
          <w:r>
            <w:rPr>
              <w:rFonts w:ascii="Times New Roman" w:hAnsi="Times New Roman" w:cs="Times New Roman"/>
            </w:rPr>
            <w:t>58</w:t>
          </w:r>
          <w:r>
            <w:rPr>
              <w:rFonts w:ascii="Times New Roman" w:hAnsi="Times New Roman" w:cs="Times New Roman"/>
            </w:rPr>
            <w:fldChar w:fldCharType="end"/>
          </w:r>
          <w:r>
            <w:rPr>
              <w:rFonts w:ascii="Times New Roman" w:hAnsi="Times New Roman" w:cs="Times New Roman"/>
            </w:rPr>
            <w:fldChar w:fldCharType="end"/>
          </w:r>
        </w:p>
        <w:p w14:paraId="10C07A76">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"_Toc233686238" </w:instrText>
          </w:r>
          <w:r>
            <w:fldChar w:fldCharType="separate"/>
          </w:r>
          <w:r>
            <w:rPr>
              <w:rStyle w:val="17"/>
              <w:rFonts w:ascii="Times New Roman" w:hAnsi="Times New Roman" w:cs="Times New Roman"/>
            </w:rPr>
            <w:t xml:space="preserve">4.3.4 </w:t>
          </w:r>
          <w:r>
            <w:rPr>
              <w:rFonts w:ascii="Times New Roman" w:hAnsi="Times New Roman" w:cs="Times New Roman" w:eastAsiaTheme="minorEastAsia"/>
              <w:lang w:val="en-US"/>
            </w:rPr>
            <w:tab/>
          </w:r>
          <w:r>
            <w:rPr>
              <w:rStyle w:val="17"/>
              <w:rFonts w:ascii="Times New Roman" w:hAnsi="Times New Roman" w:cs="Times New Roman"/>
            </w:rPr>
            <w:t>Infrastructural deficit and limits in digital capacity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_Toc233686238 \h </w:instrText>
          </w:r>
          <w:r>
            <w:rPr>
              <w:rFonts w:ascii="Times New Roman" w:hAnsi="Times New Roman" w:cs="Times New Roman"/>
            </w:rPr>
            <w:fldChar w:fldCharType="separate"/>
          </w:r>
          <w:r>
            <w:rPr>
              <w:rFonts w:ascii="Times New Roman" w:hAnsi="Times New Roman" w:cs="Times New Roman"/>
            </w:rPr>
            <w:t>58</w:t>
          </w:r>
          <w:r>
            <w:rPr>
              <w:rFonts w:ascii="Times New Roman" w:hAnsi="Times New Roman" w:cs="Times New Roman"/>
            </w:rPr>
            <w:fldChar w:fldCharType="end"/>
          </w:r>
          <w:r>
            <w:rPr>
              <w:rFonts w:ascii="Times New Roman" w:hAnsi="Times New Roman" w:cs="Times New Roman"/>
            </w:rPr>
            <w:fldChar w:fldCharType="end"/>
          </w:r>
        </w:p>
        <w:p w14:paraId="16CE6FD7">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"_Toc233686239" </w:instrText>
          </w:r>
          <w:r>
            <w:fldChar w:fldCharType="separate"/>
          </w:r>
          <w:r>
            <w:rPr>
              <w:rStyle w:val="17"/>
              <w:rFonts w:ascii="Times New Roman" w:hAnsi="Times New Roman" w:cs="Times New Roman"/>
            </w:rPr>
            <w:t xml:space="preserve">4.3.5 </w:t>
          </w:r>
          <w:r>
            <w:rPr>
              <w:rFonts w:ascii="Times New Roman" w:hAnsi="Times New Roman" w:cs="Times New Roman" w:eastAsiaTheme="minorEastAsia"/>
              <w:lang w:val="en-US"/>
            </w:rPr>
            <w:tab/>
          </w:r>
          <w:r>
            <w:rPr>
              <w:rStyle w:val="17"/>
              <w:rFonts w:ascii="Times New Roman" w:hAnsi="Times New Roman" w:cs="Times New Roman"/>
            </w:rPr>
            <w:t>Poor public communication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_Toc233686239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14:paraId="3E72F2D2">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"_Toc233686240" </w:instrText>
          </w:r>
          <w:r>
            <w:fldChar w:fldCharType="separate"/>
          </w:r>
          <w:r>
            <w:rPr>
              <w:rStyle w:val="17"/>
              <w:rFonts w:ascii="Times New Roman" w:hAnsi="Times New Roman" w:cs="Times New Roman"/>
            </w:rPr>
            <w:t xml:space="preserve">4.3.6 </w:t>
          </w:r>
          <w:r>
            <w:rPr>
              <w:rFonts w:ascii="Times New Roman" w:hAnsi="Times New Roman" w:cs="Times New Roman" w:eastAsiaTheme="minorEastAsia"/>
              <w:lang w:val="en-US"/>
            </w:rPr>
            <w:tab/>
          </w:r>
          <w:r>
            <w:rPr>
              <w:rStyle w:val="17"/>
              <w:rFonts w:ascii="Times New Roman" w:hAnsi="Times New Roman" w:cs="Times New Roman"/>
            </w:rPr>
            <w:t>Corruption and discretion-driven enforcement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_Toc233686240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14:paraId="3B40799D">
          <w:pPr>
            <w:pStyle w:val="12"/>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"_Toc233686241" </w:instrText>
          </w:r>
          <w:r>
            <w:fldChar w:fldCharType="separate"/>
          </w:r>
          <w:r>
            <w:rPr>
              <w:rStyle w:val="17"/>
              <w:rFonts w:ascii="Times New Roman" w:hAnsi="Times New Roman" w:cs="Times New Roman"/>
            </w:rPr>
            <w:t xml:space="preserve">4.3.7 </w:t>
          </w:r>
          <w:r>
            <w:rPr>
              <w:rFonts w:ascii="Times New Roman" w:hAnsi="Times New Roman" w:cs="Times New Roman" w:eastAsiaTheme="minorEastAsia"/>
              <w:lang w:val="en-US"/>
            </w:rPr>
            <w:tab/>
          </w:r>
          <w:r>
            <w:rPr>
              <w:rStyle w:val="17"/>
              <w:rFonts w:ascii="Times New Roman" w:hAnsi="Times New Roman" w:cs="Times New Roman"/>
            </w:rPr>
            <w:t>Taxpayer resistance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_Toc233686241 \h </w:instrText>
          </w:r>
          <w:r>
            <w:rPr>
              <w:rFonts w:ascii="Times New Roman" w:hAnsi="Times New Roman" w:cs="Times New Roman"/>
            </w:rPr>
            <w:fldChar w:fldCharType="separate"/>
          </w:r>
          <w:r>
            <w:rPr>
              <w:rFonts w:ascii="Times New Roman" w:hAnsi="Times New Roman" w:cs="Times New Roman"/>
            </w:rPr>
            <w:t>60</w:t>
          </w:r>
          <w:r>
            <w:rPr>
              <w:rFonts w:ascii="Times New Roman" w:hAnsi="Times New Roman" w:cs="Times New Roman"/>
            </w:rPr>
            <w:fldChar w:fldCharType="end"/>
          </w:r>
          <w:r>
            <w:rPr>
              <w:rFonts w:ascii="Times New Roman" w:hAnsi="Times New Roman" w:cs="Times New Roman"/>
            </w:rPr>
            <w:fldChar w:fldCharType="end"/>
          </w:r>
        </w:p>
        <w:p w14:paraId="53A1CA92">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"_Toc233686242" </w:instrText>
          </w:r>
          <w:r>
            <w:fldChar w:fldCharType="separate"/>
          </w:r>
          <w:r>
            <w:rPr>
              <w:rStyle w:val="17"/>
              <w:rFonts w:ascii="Times New Roman" w:hAnsi="Times New Roman" w:cs="Times New Roman"/>
            </w:rPr>
            <w:t>CHAPTER FIVE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_Toc233686242 \h </w:instrText>
          </w:r>
          <w:r>
            <w:rPr>
              <w:rFonts w:ascii="Times New Roman" w:hAnsi="Times New Roman" w:cs="Times New Roman"/>
            </w:rPr>
            <w:fldChar w:fldCharType="separate"/>
          </w:r>
          <w:r>
            <w:rPr>
              <w:rFonts w:ascii="Times New Roman" w:hAnsi="Times New Roman" w:cs="Times New Roman"/>
            </w:rPr>
            <w:t>61</w:t>
          </w:r>
          <w:r>
            <w:rPr>
              <w:rFonts w:ascii="Times New Roman" w:hAnsi="Times New Roman" w:cs="Times New Roman"/>
            </w:rPr>
            <w:fldChar w:fldCharType="end"/>
          </w:r>
          <w:r>
            <w:rPr>
              <w:rFonts w:ascii="Times New Roman" w:hAnsi="Times New Roman" w:cs="Times New Roman"/>
            </w:rPr>
            <w:fldChar w:fldCharType="end"/>
          </w:r>
        </w:p>
        <w:p w14:paraId="5D0F688A">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"_Toc233686243" </w:instrText>
          </w:r>
          <w:r>
            <w:fldChar w:fldCharType="separate"/>
          </w:r>
          <w:r>
            <w:rPr>
              <w:rStyle w:val="17"/>
              <w:rFonts w:ascii="Times New Roman" w:hAnsi="Times New Roman" w:cs="Times New Roman"/>
            </w:rPr>
            <w:t>SUMMARY OF FINDINGS, RECOMMENDATIONS CONCLUSION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_Toc233686243 \h </w:instrText>
          </w:r>
          <w:r>
            <w:rPr>
              <w:rFonts w:ascii="Times New Roman" w:hAnsi="Times New Roman" w:cs="Times New Roman"/>
            </w:rPr>
            <w:fldChar w:fldCharType="separate"/>
          </w:r>
          <w:r>
            <w:rPr>
              <w:rFonts w:ascii="Times New Roman" w:hAnsi="Times New Roman" w:cs="Times New Roman"/>
            </w:rPr>
            <w:t>61</w:t>
          </w:r>
          <w:r>
            <w:rPr>
              <w:rFonts w:ascii="Times New Roman" w:hAnsi="Times New Roman" w:cs="Times New Roman"/>
            </w:rPr>
            <w:fldChar w:fldCharType="end"/>
          </w:r>
          <w:r>
            <w:rPr>
              <w:rFonts w:ascii="Times New Roman" w:hAnsi="Times New Roman" w:cs="Times New Roman"/>
            </w:rPr>
            <w:fldChar w:fldCharType="end"/>
          </w:r>
        </w:p>
        <w:p w14:paraId="35214AF3">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"_Toc233686244" </w:instrText>
          </w:r>
          <w:r>
            <w:fldChar w:fldCharType="separate"/>
          </w:r>
          <w:r>
            <w:rPr>
              <w:rStyle w:val="17"/>
              <w:rFonts w:ascii="Times New Roman" w:hAnsi="Times New Roman" w:cs="Times New Roman"/>
            </w:rPr>
            <w:t xml:space="preserve">5.1 </w:t>
          </w:r>
          <w:r>
            <w:rPr>
              <w:rFonts w:ascii="Times New Roman" w:hAnsi="Times New Roman" w:cs="Times New Roman" w:eastAsiaTheme="minorEastAsia"/>
              <w:lang w:val="en-US"/>
            </w:rPr>
            <w:tab/>
          </w:r>
          <w:r>
            <w:rPr>
              <w:rStyle w:val="17"/>
              <w:rFonts w:ascii="Times New Roman" w:hAnsi="Times New Roman" w:cs="Times New Roman"/>
            </w:rPr>
            <w:t>Summary of Findings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_Toc233686244 \h </w:instrText>
          </w:r>
          <w:r>
            <w:rPr>
              <w:rFonts w:ascii="Times New Roman" w:hAnsi="Times New Roman" w:cs="Times New Roman"/>
            </w:rPr>
            <w:fldChar w:fldCharType="separate"/>
          </w:r>
          <w:r>
            <w:rPr>
              <w:rFonts w:ascii="Times New Roman" w:hAnsi="Times New Roman" w:cs="Times New Roman"/>
            </w:rPr>
            <w:t>61</w:t>
          </w:r>
          <w:r>
            <w:rPr>
              <w:rFonts w:ascii="Times New Roman" w:hAnsi="Times New Roman" w:cs="Times New Roman"/>
            </w:rPr>
            <w:fldChar w:fldCharType="end"/>
          </w:r>
          <w:r>
            <w:rPr>
              <w:rFonts w:ascii="Times New Roman" w:hAnsi="Times New Roman" w:cs="Times New Roman"/>
            </w:rPr>
            <w:fldChar w:fldCharType="end"/>
          </w:r>
        </w:p>
        <w:p w14:paraId="42915A7C">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"_Toc233686245" </w:instrText>
          </w:r>
          <w:r>
            <w:fldChar w:fldCharType="separate"/>
          </w:r>
          <w:r>
            <w:rPr>
              <w:rStyle w:val="17"/>
              <w:rFonts w:ascii="Times New Roman" w:hAnsi="Times New Roman" w:cs="Times New Roman"/>
              <w:lang w:val="en-US"/>
            </w:rPr>
            <w:t xml:space="preserve">5.2 </w:t>
          </w:r>
          <w:r>
            <w:rPr>
              <w:rFonts w:ascii="Times New Roman" w:hAnsi="Times New Roman" w:cs="Times New Roman" w:eastAsiaTheme="minorEastAsia"/>
              <w:lang w:val="en-US"/>
            </w:rPr>
            <w:tab/>
          </w:r>
          <w:r>
            <w:rPr>
              <w:rStyle w:val="17"/>
              <w:rFonts w:ascii="Times New Roman" w:hAnsi="Times New Roman" w:cs="Times New Roman"/>
              <w:lang w:val="en-US"/>
            </w:rPr>
            <w:t>Recommendations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_Toc233686245 \h </w:instrText>
          </w:r>
          <w:r>
            <w:rPr>
              <w:rFonts w:ascii="Times New Roman" w:hAnsi="Times New Roman" w:cs="Times New Roman"/>
            </w:rPr>
            <w:fldChar w:fldCharType="separate"/>
          </w:r>
          <w:r>
            <w:rPr>
              <w:rFonts w:ascii="Times New Roman" w:hAnsi="Times New Roman" w:cs="Times New Roman"/>
            </w:rPr>
            <w:t>64</w:t>
          </w:r>
          <w:r>
            <w:rPr>
              <w:rFonts w:ascii="Times New Roman" w:hAnsi="Times New Roman" w:cs="Times New Roman"/>
            </w:rPr>
            <w:fldChar w:fldCharType="end"/>
          </w:r>
          <w:r>
            <w:rPr>
              <w:rFonts w:ascii="Times New Roman" w:hAnsi="Times New Roman" w:cs="Times New Roman"/>
            </w:rPr>
            <w:fldChar w:fldCharType="end"/>
          </w:r>
        </w:p>
        <w:p w14:paraId="236F5AAB">
          <w:pPr>
            <w:pStyle w:val="11"/>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"_Toc233686246" </w:instrText>
          </w:r>
          <w:r>
            <w:fldChar w:fldCharType="separate"/>
          </w:r>
          <w:r>
            <w:rPr>
              <w:rStyle w:val="17"/>
              <w:rFonts w:ascii="Times New Roman" w:hAnsi="Times New Roman" w:cs="Times New Roman"/>
              <w:lang w:val="en-US"/>
            </w:rPr>
            <w:t xml:space="preserve">5.3 </w:t>
          </w:r>
          <w:r>
            <w:rPr>
              <w:rFonts w:ascii="Times New Roman" w:hAnsi="Times New Roman" w:cs="Times New Roman" w:eastAsiaTheme="minorEastAsia"/>
              <w:lang w:val="en-US"/>
            </w:rPr>
            <w:tab/>
          </w:r>
          <w:r>
            <w:rPr>
              <w:rStyle w:val="17"/>
              <w:rFonts w:ascii="Times New Roman" w:hAnsi="Times New Roman" w:cs="Times New Roman"/>
              <w:lang w:val="en-US"/>
            </w:rPr>
            <w:t>Conclusion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_Toc233686246 \h </w:instrText>
          </w:r>
          <w:r>
            <w:rPr>
              <w:rFonts w:ascii="Times New Roman" w:hAnsi="Times New Roman" w:cs="Times New Roman"/>
            </w:rPr>
            <w:fldChar w:fldCharType="separate"/>
          </w:r>
          <w:r>
            <w:rPr>
              <w:rFonts w:ascii="Times New Roman" w:hAnsi="Times New Roman" w:cs="Times New Roman"/>
            </w:rPr>
            <w:t>67</w:t>
          </w:r>
          <w:r>
            <w:rPr>
              <w:rFonts w:ascii="Times New Roman" w:hAnsi="Times New Roman" w:cs="Times New Roman"/>
            </w:rPr>
            <w:fldChar w:fldCharType="end"/>
          </w:r>
          <w:r>
            <w:rPr>
              <w:rFonts w:ascii="Times New Roman" w:hAnsi="Times New Roman" w:cs="Times New Roman"/>
            </w:rPr>
            <w:fldChar w:fldCharType="end"/>
          </w:r>
        </w:p>
        <w:p w14:paraId="58377B6B">
          <w:pPr>
            <w:pStyle w:val="10"/>
            <w:tabs>
              <w:tab w:val="right" w:leader="dot" w:pos="9017"/>
            </w:tabs>
            <w:rPr>
              <w:rFonts w:ascii="Times New Roman" w:hAnsi="Times New Roman" w:cs="Times New Roman" w:eastAsiaTheme="minorEastAsia"/>
              <w:lang w:val="en-US"/>
            </w:rPr>
          </w:pPr>
          <w:r>
            <w:fldChar w:fldCharType="begin"/>
          </w:r>
          <w:r>
            <w:instrText xml:space="preserve"> HYPERLINK \l "_Toc233686247" </w:instrText>
          </w:r>
          <w:r>
            <w:fldChar w:fldCharType="separate"/>
          </w:r>
          <w:r>
            <w:rPr>
              <w:rStyle w:val="17"/>
              <w:rFonts w:ascii="Times New Roman" w:hAnsi="Times New Roman" w:cs="Times New Roman"/>
            </w:rPr>
            <w:t>BIBLIOGRAPHY</w:t>
          </w:r>
          <w:r>
            <w:rPr>
              <w:rStyle w:val="17"/>
              <w:rFonts w:ascii="Times New Roman" w:hAnsi="Times New Roman" w:cs="Times New Roman"/>
            </w:rPr>
            <w:fldChar w:fldCharType="end"/>
          </w:r>
        </w:p>
        <w:p w14:paraId="4BE4B36B">
          <w:pPr>
            <w:rPr>
              <w:rFonts w:ascii="Times New Roman" w:hAnsi="Times New Roman" w:cs="Times New Roman"/>
            </w:rPr>
          </w:pPr>
          <w:r>
            <w:rPr>
              <w:rFonts w:ascii="Times New Roman" w:hAnsi="Times New Roman" w:cs="Times New Roman"/>
            </w:rPr>
            <w:fldChar w:fldCharType="end"/>
          </w:r>
        </w:p>
      </w:sdtContent>
    </w:sdt>
    <w:p w14:paraId="6F95A9D0">
      <w:pPr>
        <w:spacing w:line="360" w:lineRule="auto"/>
        <w:jc w:val="both"/>
        <w:rPr>
          <w:rFonts w:ascii="Times New Roman" w:hAnsi="Times New Roman" w:cs="Times New Roman"/>
          <w:sz w:val="24"/>
          <w:szCs w:val="24"/>
        </w:rPr>
      </w:pPr>
    </w:p>
    <w:p w14:paraId="3FA24215">
      <w:pPr>
        <w:spacing w:line="360" w:lineRule="auto"/>
        <w:jc w:val="both"/>
        <w:rPr>
          <w:rFonts w:ascii="Times New Roman" w:hAnsi="Times New Roman" w:cs="Times New Roman"/>
          <w:sz w:val="24"/>
          <w:szCs w:val="24"/>
        </w:rPr>
      </w:pPr>
    </w:p>
    <w:p w14:paraId="1B73BE44">
      <w:pPr>
        <w:spacing w:line="360" w:lineRule="auto"/>
        <w:jc w:val="both"/>
        <w:rPr>
          <w:rFonts w:ascii="Times New Roman" w:hAnsi="Times New Roman" w:cs="Times New Roman"/>
          <w:sz w:val="24"/>
          <w:szCs w:val="24"/>
        </w:rPr>
      </w:pPr>
    </w:p>
    <w:p w14:paraId="08361031">
      <w:pPr>
        <w:spacing w:line="360" w:lineRule="auto"/>
        <w:jc w:val="both"/>
        <w:rPr>
          <w:rFonts w:ascii="Times New Roman" w:hAnsi="Times New Roman" w:cs="Times New Roman"/>
          <w:sz w:val="24"/>
          <w:szCs w:val="24"/>
        </w:rPr>
      </w:pPr>
    </w:p>
    <w:p w14:paraId="7DA6ADDC">
      <w:pPr>
        <w:spacing w:line="360" w:lineRule="auto"/>
        <w:jc w:val="both"/>
        <w:rPr>
          <w:rFonts w:ascii="Times New Roman" w:hAnsi="Times New Roman" w:cs="Times New Roman"/>
          <w:sz w:val="24"/>
          <w:szCs w:val="24"/>
        </w:rPr>
      </w:pPr>
    </w:p>
    <w:p w14:paraId="65E8BA8B">
      <w:pPr>
        <w:spacing w:line="360" w:lineRule="auto"/>
        <w:jc w:val="both"/>
        <w:rPr>
          <w:rFonts w:ascii="Times New Roman" w:hAnsi="Times New Roman" w:cs="Times New Roman"/>
          <w:sz w:val="24"/>
          <w:szCs w:val="24"/>
        </w:rPr>
      </w:pPr>
    </w:p>
    <w:p w14:paraId="0A0B369E">
      <w:pPr>
        <w:spacing w:line="360" w:lineRule="auto"/>
        <w:jc w:val="both"/>
        <w:rPr>
          <w:rFonts w:ascii="Times New Roman" w:hAnsi="Times New Roman" w:cs="Times New Roman"/>
          <w:sz w:val="24"/>
          <w:szCs w:val="24"/>
        </w:rPr>
      </w:pPr>
    </w:p>
    <w:p w14:paraId="6E227F03">
      <w:pPr>
        <w:spacing w:line="360" w:lineRule="auto"/>
        <w:jc w:val="both"/>
        <w:rPr>
          <w:rFonts w:ascii="Times New Roman" w:hAnsi="Times New Roman" w:cs="Times New Roman"/>
          <w:sz w:val="24"/>
          <w:szCs w:val="24"/>
        </w:rPr>
      </w:pPr>
    </w:p>
    <w:p w14:paraId="600E3309">
      <w:pPr>
        <w:spacing w:line="360" w:lineRule="auto"/>
        <w:jc w:val="both"/>
        <w:rPr>
          <w:rFonts w:ascii="Times New Roman" w:hAnsi="Times New Roman" w:cs="Times New Roman"/>
          <w:sz w:val="24"/>
          <w:szCs w:val="24"/>
        </w:rPr>
      </w:pPr>
    </w:p>
    <w:p w14:paraId="21F743F0">
      <w:pPr>
        <w:spacing w:line="360" w:lineRule="auto"/>
        <w:jc w:val="both"/>
        <w:rPr>
          <w:rFonts w:ascii="Times New Roman" w:hAnsi="Times New Roman" w:cs="Times New Roman"/>
          <w:sz w:val="24"/>
          <w:szCs w:val="24"/>
        </w:rPr>
      </w:pPr>
    </w:p>
    <w:p w14:paraId="676669BB">
      <w:pPr>
        <w:rPr>
          <w:rFonts w:ascii="Times New Roman" w:hAnsi="Times New Roman" w:cs="Times New Roman"/>
          <w:sz w:val="24"/>
          <w:szCs w:val="24"/>
        </w:rPr>
      </w:pPr>
      <w:r>
        <w:rPr>
          <w:rFonts w:ascii="Times New Roman" w:hAnsi="Times New Roman" w:cs="Times New Roman"/>
          <w:sz w:val="24"/>
          <w:szCs w:val="24"/>
        </w:rPr>
        <w:br w:type="page"/>
      </w:r>
    </w:p>
    <w:p w14:paraId="489DBB33">
      <w:pPr>
        <w:pStyle w:val="2"/>
      </w:pPr>
      <w:bookmarkStart w:id="4" w:name="_Toc233686173"/>
      <w:r>
        <w:t>LIST OF CASES</w:t>
      </w:r>
      <w:bookmarkEnd w:id="4"/>
    </w:p>
    <w:p w14:paraId="10FD2059">
      <w:pPr>
        <w:pStyle w:val="9"/>
        <w:spacing w:before="0" w:beforeAutospacing="0" w:after="0" w:afterAutospacing="0"/>
      </w:pPr>
      <w:r>
        <w:t>A-G Lagos State v Eko Hotels Ltd and anor [2017] 12 SC (Pt 1) 107 .................. 3, 17, 44, 57</w:t>
      </w:r>
    </w:p>
    <w:p w14:paraId="30CDF133">
      <w:pPr>
        <w:pStyle w:val="9"/>
        <w:spacing w:before="0" w:beforeAutospacing="0" w:after="0" w:afterAutospacing="0"/>
      </w:pPr>
      <w:r>
        <w:t>A-G Lagos State v Eko Hotels Ltd and anor [2017] LPELR-43713(SC) ........................ 44, 57</w:t>
      </w:r>
    </w:p>
    <w:p w14:paraId="7F3CF849">
      <w:pPr>
        <w:pStyle w:val="9"/>
        <w:spacing w:before="0" w:beforeAutospacing="0" w:after="0" w:afterAutospacing="0"/>
      </w:pPr>
      <w:r>
        <w:t>A-G Ogun State v Aberuagba [1985] LPELR-SC.20 ...................................................... 18, 23</w:t>
      </w:r>
    </w:p>
    <w:p w14:paraId="055FF8C0">
      <w:pPr>
        <w:pStyle w:val="9"/>
        <w:spacing w:before="0" w:beforeAutospacing="0" w:after="0" w:afterAutospacing="0"/>
      </w:pPr>
      <w:r>
        <w:t>A-G Ogun State v Aberuagba [1985] Legalpedia (SC) 78521 .............................................. 44</w:t>
      </w:r>
    </w:p>
    <w:p w14:paraId="4B941FA5">
      <w:pPr>
        <w:pStyle w:val="9"/>
        <w:spacing w:before="0" w:beforeAutospacing="0" w:after="0" w:afterAutospacing="0"/>
      </w:pPr>
      <w:r>
        <w:t>Ponticelli Upstream v Federal Inland Revenue Service (unreported, Appeal No TAT/LZ/CIT/029/2017) ......................................................................................................... 60</w:t>
      </w:r>
    </w:p>
    <w:p w14:paraId="333A8763">
      <w:pPr>
        <w:pStyle w:val="9"/>
        <w:spacing w:before="0" w:beforeAutospacing="0" w:after="0" w:afterAutospacing="0"/>
      </w:pPr>
      <w:r>
        <w:t>TSKJ Construcoes Internacional Sociedade Uniperssoal LDA v FIRS (SC/955/2017) ..................................................................................................................................... 38, 47, 51</w:t>
      </w:r>
    </w:p>
    <w:p w14:paraId="2ADE3ACA">
      <w:pPr>
        <w:pStyle w:val="9"/>
        <w:spacing w:before="0" w:beforeAutospacing="0" w:after="0" w:afterAutospacing="0"/>
      </w:pPr>
      <w:r>
        <w:t>Vodacom Business Nigeria Ltd v FIRS Appeal No CA/L/556/2018 .................. 25, 42, 45, 57</w:t>
      </w:r>
    </w:p>
    <w:p w14:paraId="15C03D13">
      <w:pPr>
        <w:spacing w:line="360" w:lineRule="auto"/>
        <w:jc w:val="both"/>
        <w:rPr>
          <w:rFonts w:ascii="Times New Roman" w:hAnsi="Times New Roman" w:cs="Times New Roman"/>
          <w:sz w:val="24"/>
          <w:szCs w:val="24"/>
        </w:rPr>
      </w:pPr>
    </w:p>
    <w:p w14:paraId="7864D9F2">
      <w:pPr>
        <w:spacing w:line="360" w:lineRule="auto"/>
        <w:jc w:val="both"/>
        <w:rPr>
          <w:rFonts w:ascii="Times New Roman" w:hAnsi="Times New Roman" w:cs="Times New Roman"/>
          <w:sz w:val="24"/>
          <w:szCs w:val="24"/>
        </w:rPr>
      </w:pPr>
    </w:p>
    <w:p w14:paraId="177EB53D">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6C178482">
      <w:pPr>
        <w:rPr>
          <w:rFonts w:ascii="Times New Roman" w:hAnsi="Times New Roman" w:cs="Times New Roman"/>
          <w:sz w:val="24"/>
          <w:szCs w:val="24"/>
        </w:rPr>
      </w:pPr>
      <w:r>
        <w:rPr>
          <w:rFonts w:ascii="Times New Roman" w:hAnsi="Times New Roman" w:cs="Times New Roman"/>
          <w:sz w:val="24"/>
          <w:szCs w:val="24"/>
        </w:rPr>
        <w:br w:type="page"/>
      </w:r>
    </w:p>
    <w:p w14:paraId="54805A85">
      <w:pPr>
        <w:pStyle w:val="2"/>
      </w:pPr>
      <w:bookmarkStart w:id="5" w:name="_Toc233686174"/>
      <w:r>
        <w:t>LIST OF STATUTES, TREATIES AND OTHER INTERNATIONAL INSTRUMENTS</w:t>
      </w:r>
      <w:bookmarkEnd w:id="5"/>
    </w:p>
    <w:p w14:paraId="1296FD3D">
      <w:pPr>
        <w:pStyle w:val="9"/>
        <w:spacing w:before="0" w:beforeAutospacing="0" w:after="0" w:afterAutospacing="0"/>
      </w:pPr>
      <w:r>
        <w:t>Constitution of the Federal Republic of Nigeria 1999 (as amended) ......................................................................................1, 5, 8, 15, 18, 23, 27, 28, 37, 38, 40, 41</w:t>
      </w:r>
    </w:p>
    <w:p w14:paraId="00176361">
      <w:pPr>
        <w:pStyle w:val="9"/>
        <w:spacing w:before="0" w:beforeAutospacing="0" w:after="0" w:afterAutospacing="0"/>
      </w:pPr>
      <w:r>
        <w:t>Federal Inland Revenue Service Act ..................................................................................... 38</w:t>
      </w:r>
    </w:p>
    <w:p w14:paraId="7471F840">
      <w:pPr>
        <w:pStyle w:val="9"/>
        <w:spacing w:before="0" w:beforeAutospacing="0" w:after="0" w:afterAutospacing="0"/>
      </w:pPr>
      <w:r>
        <w:t>Finance Act 2023 ................................................................................................................... 33</w:t>
      </w:r>
    </w:p>
    <w:p w14:paraId="2665F751">
      <w:pPr>
        <w:pStyle w:val="9"/>
        <w:spacing w:before="0" w:beforeAutospacing="0" w:after="0" w:afterAutospacing="0"/>
      </w:pPr>
      <w:r>
        <w:t>Joint Revenue Board Act 2025 ............................................. 2, 6, 32, 33, 36, 37, 38, 39, 43, 61</w:t>
      </w:r>
    </w:p>
    <w:p w14:paraId="57DA7EA3">
      <w:pPr>
        <w:pStyle w:val="9"/>
        <w:spacing w:before="0" w:beforeAutospacing="0" w:after="0" w:afterAutospacing="0"/>
      </w:pPr>
      <w:r>
        <w:t>Nigeria Customs Service Act 2023 ................................................................................. 34, 41</w:t>
      </w:r>
    </w:p>
    <w:p w14:paraId="06279F94">
      <w:pPr>
        <w:pStyle w:val="9"/>
        <w:spacing w:before="0" w:beforeAutospacing="0" w:after="0" w:afterAutospacing="0"/>
      </w:pPr>
      <w:r>
        <w:t>Nigeria Revenue Service Act 2025 .................................................. 2, 6, 20, 31, 35, 42, 43, 46</w:t>
      </w:r>
    </w:p>
    <w:p w14:paraId="39A255B8">
      <w:pPr>
        <w:pStyle w:val="9"/>
        <w:spacing w:before="0" w:beforeAutospacing="0" w:after="0" w:afterAutospacing="0"/>
      </w:pPr>
      <w:r>
        <w:t>Nigeria Tax Act 2025 ........................................................... 2, 6, 20, 29, 30, 37, 42, 43, 46, 61</w:t>
      </w:r>
    </w:p>
    <w:p w14:paraId="06BC8837">
      <w:pPr>
        <w:pStyle w:val="9"/>
        <w:spacing w:before="0" w:beforeAutospacing="0" w:after="0" w:afterAutospacing="0"/>
      </w:pPr>
      <w:r>
        <w:t>Nigeria Tax Administration Act 2025 .......... 2, 6, 19, 20, 23, 25, 30, 31, 37, 40, 42, 43, 47, 61</w:t>
      </w:r>
    </w:p>
    <w:p w14:paraId="30CDA351">
      <w:pPr>
        <w:pStyle w:val="9"/>
        <w:spacing w:before="0" w:beforeAutospacing="0" w:after="0" w:afterAutospacing="0"/>
      </w:pPr>
      <w:r>
        <w:t>NITDA National Regulatory Guideline for Electronic Invoicing in Nigeria 2025 ............... 48</w:t>
      </w:r>
    </w:p>
    <w:p w14:paraId="7C45E14B">
      <w:pPr>
        <w:pStyle w:val="9"/>
        <w:spacing w:before="0" w:beforeAutospacing="0" w:after="0" w:afterAutospacing="0"/>
      </w:pPr>
      <w:r>
        <w:t>Value Added Tax Act ............................................................................................................. 17</w:t>
      </w:r>
    </w:p>
    <w:p w14:paraId="799C40C0">
      <w:pPr>
        <w:spacing w:line="360" w:lineRule="auto"/>
        <w:jc w:val="both"/>
        <w:rPr>
          <w:rFonts w:ascii="Times New Roman" w:hAnsi="Times New Roman" w:cs="Times New Roman"/>
          <w:sz w:val="24"/>
          <w:szCs w:val="24"/>
        </w:rPr>
      </w:pPr>
    </w:p>
    <w:p w14:paraId="02E58D9A">
      <w:pPr>
        <w:spacing w:line="360" w:lineRule="auto"/>
        <w:jc w:val="both"/>
        <w:rPr>
          <w:rFonts w:ascii="Times New Roman" w:hAnsi="Times New Roman" w:cs="Times New Roman"/>
          <w:sz w:val="24"/>
          <w:szCs w:val="24"/>
        </w:rPr>
      </w:pPr>
    </w:p>
    <w:p w14:paraId="75E81263">
      <w:pPr>
        <w:spacing w:line="360" w:lineRule="auto"/>
        <w:jc w:val="both"/>
        <w:rPr>
          <w:rFonts w:ascii="Times New Roman" w:hAnsi="Times New Roman" w:cs="Times New Roman"/>
          <w:sz w:val="24"/>
          <w:szCs w:val="24"/>
        </w:rPr>
      </w:pPr>
    </w:p>
    <w:p w14:paraId="5E7FD7A1">
      <w:pPr>
        <w:spacing w:line="360" w:lineRule="auto"/>
        <w:jc w:val="both"/>
        <w:rPr>
          <w:rFonts w:ascii="Times New Roman" w:hAnsi="Times New Roman" w:cs="Times New Roman"/>
          <w:sz w:val="24"/>
          <w:szCs w:val="24"/>
        </w:rPr>
      </w:pPr>
    </w:p>
    <w:p w14:paraId="609BA6C5">
      <w:pPr>
        <w:spacing w:line="360" w:lineRule="auto"/>
        <w:jc w:val="both"/>
        <w:rPr>
          <w:rFonts w:ascii="Times New Roman" w:hAnsi="Times New Roman" w:cs="Times New Roman"/>
          <w:sz w:val="24"/>
          <w:szCs w:val="24"/>
        </w:rPr>
      </w:pPr>
    </w:p>
    <w:p w14:paraId="1C6B839C">
      <w:pPr>
        <w:spacing w:line="360" w:lineRule="auto"/>
        <w:jc w:val="both"/>
        <w:rPr>
          <w:rFonts w:ascii="Times New Roman" w:hAnsi="Times New Roman" w:cs="Times New Roman"/>
          <w:sz w:val="24"/>
          <w:szCs w:val="24"/>
        </w:rPr>
      </w:pPr>
    </w:p>
    <w:p w14:paraId="7050B63D">
      <w:pPr>
        <w:spacing w:line="360" w:lineRule="auto"/>
        <w:jc w:val="both"/>
        <w:rPr>
          <w:rFonts w:ascii="Times New Roman" w:hAnsi="Times New Roman" w:cs="Times New Roman"/>
          <w:sz w:val="24"/>
          <w:szCs w:val="24"/>
        </w:rPr>
      </w:pPr>
    </w:p>
    <w:p w14:paraId="0CF59837">
      <w:pPr>
        <w:spacing w:line="360" w:lineRule="auto"/>
        <w:jc w:val="both"/>
        <w:rPr>
          <w:rFonts w:ascii="Times New Roman" w:hAnsi="Times New Roman" w:cs="Times New Roman"/>
          <w:sz w:val="24"/>
          <w:szCs w:val="24"/>
        </w:rPr>
      </w:pPr>
    </w:p>
    <w:p w14:paraId="4CC0A8F1">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77D863F6">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7EF566DE">
      <w:pPr>
        <w:rPr>
          <w:rFonts w:ascii="Times New Roman" w:hAnsi="Times New Roman" w:cs="Times New Roman"/>
          <w:sz w:val="24"/>
          <w:szCs w:val="24"/>
        </w:rPr>
      </w:pPr>
      <w:r>
        <w:rPr>
          <w:rFonts w:ascii="Times New Roman" w:hAnsi="Times New Roman" w:cs="Times New Roman"/>
          <w:sz w:val="24"/>
          <w:szCs w:val="24"/>
        </w:rPr>
        <w:br w:type="page"/>
      </w:r>
    </w:p>
    <w:p w14:paraId="5D01978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LIST OF ABBREVIATIONS</w:t>
      </w:r>
    </w:p>
    <w:p w14:paraId="13E912B5">
      <w:pPr>
        <w:pStyle w:val="9"/>
        <w:spacing w:before="0" w:beforeAutospacing="0" w:after="0" w:afterAutospacing="0"/>
      </w:pPr>
      <w:r>
        <w:t xml:space="preserve">A-G </w:t>
      </w:r>
      <w:r>
        <w:tab/>
      </w:r>
      <w:r>
        <w:tab/>
      </w:r>
      <w:r>
        <w:tab/>
      </w:r>
      <w:r>
        <w:t>Attorney-General</w:t>
      </w:r>
    </w:p>
    <w:p w14:paraId="53DF617E">
      <w:pPr>
        <w:pStyle w:val="9"/>
        <w:spacing w:before="0" w:beforeAutospacing="0" w:after="0" w:afterAutospacing="0"/>
      </w:pPr>
      <w:r>
        <w:t xml:space="preserve">AJEBM </w:t>
      </w:r>
      <w:r>
        <w:tab/>
      </w:r>
      <w:r>
        <w:tab/>
      </w:r>
      <w:r>
        <w:t>American Journal of Economics and Business Management</w:t>
      </w:r>
    </w:p>
    <w:p w14:paraId="625642C9">
      <w:pPr>
        <w:pStyle w:val="9"/>
        <w:spacing w:before="0" w:beforeAutospacing="0" w:after="0" w:afterAutospacing="0"/>
      </w:pPr>
      <w:r>
        <w:t xml:space="preserve">AUN </w:t>
      </w:r>
      <w:r>
        <w:tab/>
      </w:r>
      <w:r>
        <w:tab/>
      </w:r>
      <w:r>
        <w:tab/>
      </w:r>
      <w:r>
        <w:t>American University of Nigeria</w:t>
      </w:r>
    </w:p>
    <w:p w14:paraId="3DA47EC4">
      <w:pPr>
        <w:pStyle w:val="9"/>
        <w:spacing w:before="0" w:beforeAutospacing="0" w:after="0" w:afterAutospacing="0"/>
      </w:pPr>
      <w:r>
        <w:t xml:space="preserve">CBN </w:t>
      </w:r>
      <w:r>
        <w:tab/>
      </w:r>
      <w:r>
        <w:tab/>
      </w:r>
      <w:r>
        <w:tab/>
      </w:r>
      <w:r>
        <w:t>Central Bank of Nigeria</w:t>
      </w:r>
    </w:p>
    <w:p w14:paraId="79B2787C">
      <w:pPr>
        <w:pStyle w:val="9"/>
        <w:spacing w:before="0" w:beforeAutospacing="0" w:after="0" w:afterAutospacing="0"/>
      </w:pPr>
      <w:r>
        <w:t xml:space="preserve">CFRN </w:t>
      </w:r>
      <w:r>
        <w:tab/>
      </w:r>
      <w:r>
        <w:tab/>
      </w:r>
      <w:r>
        <w:tab/>
      </w:r>
      <w:r>
        <w:t>Constitution of the Federal Republic of Nigeria</w:t>
      </w:r>
    </w:p>
    <w:p w14:paraId="24828FCC">
      <w:pPr>
        <w:pStyle w:val="9"/>
        <w:spacing w:before="0" w:beforeAutospacing="0" w:after="0" w:afterAutospacing="0"/>
      </w:pPr>
      <w:r>
        <w:t xml:space="preserve">CGT </w:t>
      </w:r>
      <w:r>
        <w:tab/>
      </w:r>
      <w:r>
        <w:tab/>
      </w:r>
      <w:r>
        <w:tab/>
      </w:r>
      <w:r>
        <w:t>Capital Gains Tax</w:t>
      </w:r>
    </w:p>
    <w:p w14:paraId="0668D6E8">
      <w:pPr>
        <w:pStyle w:val="9"/>
        <w:spacing w:before="0" w:beforeAutospacing="0" w:after="0" w:afterAutospacing="0"/>
      </w:pPr>
      <w:r>
        <w:t xml:space="preserve">CIT </w:t>
      </w:r>
      <w:r>
        <w:tab/>
      </w:r>
      <w:r>
        <w:tab/>
      </w:r>
      <w:r>
        <w:tab/>
      </w:r>
      <w:r>
        <w:t>Companies Income Tax</w:t>
      </w:r>
    </w:p>
    <w:p w14:paraId="4E83BF3F">
      <w:pPr>
        <w:pStyle w:val="9"/>
        <w:spacing w:before="0" w:beforeAutospacing="0" w:after="0" w:afterAutospacing="0"/>
      </w:pPr>
      <w:r>
        <w:t xml:space="preserve">FCT </w:t>
      </w:r>
      <w:r>
        <w:tab/>
      </w:r>
      <w:r>
        <w:tab/>
      </w:r>
      <w:r>
        <w:tab/>
      </w:r>
      <w:r>
        <w:t>Federal Capital Territory</w:t>
      </w:r>
    </w:p>
    <w:p w14:paraId="22C0D883">
      <w:pPr>
        <w:pStyle w:val="9"/>
        <w:spacing w:before="0" w:beforeAutospacing="0" w:after="0" w:afterAutospacing="0"/>
      </w:pPr>
      <w:r>
        <w:t xml:space="preserve">FIRS </w:t>
      </w:r>
      <w:r>
        <w:tab/>
      </w:r>
      <w:r>
        <w:tab/>
      </w:r>
      <w:r>
        <w:tab/>
      </w:r>
      <w:r>
        <w:t>Federal Inland Revenue Service</w:t>
      </w:r>
    </w:p>
    <w:p w14:paraId="17027599">
      <w:pPr>
        <w:pStyle w:val="9"/>
        <w:spacing w:before="0" w:beforeAutospacing="0" w:after="0" w:afterAutospacing="0"/>
      </w:pPr>
      <w:r>
        <w:t xml:space="preserve">FOB </w:t>
      </w:r>
      <w:r>
        <w:tab/>
      </w:r>
      <w:r>
        <w:tab/>
      </w:r>
      <w:r>
        <w:tab/>
      </w:r>
      <w:r>
        <w:t>Free-on-Board</w:t>
      </w:r>
    </w:p>
    <w:p w14:paraId="1FF58327">
      <w:pPr>
        <w:pStyle w:val="9"/>
        <w:spacing w:before="0" w:beforeAutospacing="0" w:after="0" w:afterAutospacing="0"/>
      </w:pPr>
      <w:r>
        <w:t xml:space="preserve">FRSC </w:t>
      </w:r>
      <w:r>
        <w:tab/>
      </w:r>
      <w:r>
        <w:tab/>
      </w:r>
      <w:r>
        <w:tab/>
      </w:r>
      <w:r>
        <w:t>Federal Road Safety Corps</w:t>
      </w:r>
    </w:p>
    <w:p w14:paraId="205F9C4A">
      <w:pPr>
        <w:pStyle w:val="9"/>
        <w:spacing w:before="0" w:beforeAutospacing="0" w:after="0" w:afterAutospacing="0"/>
      </w:pPr>
      <w:r>
        <w:t xml:space="preserve">FX </w:t>
      </w:r>
      <w:r>
        <w:tab/>
      </w:r>
      <w:r>
        <w:tab/>
      </w:r>
      <w:r>
        <w:tab/>
      </w:r>
      <w:r>
        <w:t>Foreign Exchange</w:t>
      </w:r>
    </w:p>
    <w:p w14:paraId="3A8FAF0A">
      <w:pPr>
        <w:pStyle w:val="9"/>
        <w:spacing w:before="0" w:beforeAutospacing="0" w:after="0" w:afterAutospacing="0"/>
      </w:pPr>
      <w:r>
        <w:t xml:space="preserve">GOU </w:t>
      </w:r>
      <w:r>
        <w:tab/>
      </w:r>
      <w:r>
        <w:tab/>
      </w:r>
      <w:r>
        <w:tab/>
      </w:r>
      <w:r>
        <w:t>Godfrey Okoye University</w:t>
      </w:r>
    </w:p>
    <w:p w14:paraId="326EDAFD">
      <w:pPr>
        <w:pStyle w:val="9"/>
        <w:spacing w:before="0" w:beforeAutospacing="0" w:after="0" w:afterAutospacing="0"/>
      </w:pPr>
      <w:r>
        <w:t xml:space="preserve">GOUNI </w:t>
      </w:r>
      <w:r>
        <w:tab/>
      </w:r>
      <w:r>
        <w:tab/>
      </w:r>
      <w:r>
        <w:t>Godfrey Okoye University</w:t>
      </w:r>
    </w:p>
    <w:p w14:paraId="423DD45C">
      <w:pPr>
        <w:pStyle w:val="9"/>
        <w:spacing w:before="0" w:beforeAutospacing="0" w:after="0" w:afterAutospacing="0"/>
      </w:pPr>
      <w:r>
        <w:t xml:space="preserve">ICAN </w:t>
      </w:r>
      <w:r>
        <w:tab/>
      </w:r>
      <w:r>
        <w:tab/>
      </w:r>
      <w:r>
        <w:tab/>
      </w:r>
      <w:r>
        <w:t>Institute of Chartered Accountants of Nigeria</w:t>
      </w:r>
    </w:p>
    <w:p w14:paraId="4C0FF887">
      <w:pPr>
        <w:pStyle w:val="9"/>
        <w:spacing w:before="0" w:beforeAutospacing="0" w:after="0" w:afterAutospacing="0"/>
      </w:pPr>
      <w:r>
        <w:t xml:space="preserve">ICT </w:t>
      </w:r>
      <w:r>
        <w:tab/>
      </w:r>
      <w:r>
        <w:tab/>
      </w:r>
      <w:r>
        <w:tab/>
      </w:r>
      <w:r>
        <w:t>Information and Communication Technology</w:t>
      </w:r>
    </w:p>
    <w:p w14:paraId="0C418EFF">
      <w:pPr>
        <w:pStyle w:val="9"/>
        <w:spacing w:before="0" w:beforeAutospacing="0" w:after="0" w:afterAutospacing="0"/>
        <w:ind w:left="2160" w:hanging="2160"/>
      </w:pPr>
      <w:r>
        <w:t xml:space="preserve">IJEBMR </w:t>
      </w:r>
      <w:r>
        <w:tab/>
      </w:r>
      <w:r>
        <w:t>International Journal of Economics, Business and Management Research</w:t>
      </w:r>
    </w:p>
    <w:p w14:paraId="23408A88">
      <w:pPr>
        <w:pStyle w:val="9"/>
        <w:spacing w:before="0" w:beforeAutospacing="0" w:after="0" w:afterAutospacing="0"/>
      </w:pPr>
      <w:r>
        <w:t xml:space="preserve">J Acct &amp; Taxn </w:t>
      </w:r>
      <w:r>
        <w:tab/>
      </w:r>
      <w:r>
        <w:t>Journal of Accounting and Taxation</w:t>
      </w:r>
    </w:p>
    <w:p w14:paraId="73BDC28C">
      <w:pPr>
        <w:pStyle w:val="9"/>
        <w:spacing w:before="0" w:beforeAutospacing="0" w:after="0" w:afterAutospacing="0"/>
      </w:pPr>
      <w:r>
        <w:t xml:space="preserve">JRB </w:t>
      </w:r>
      <w:r>
        <w:tab/>
      </w:r>
      <w:r>
        <w:tab/>
      </w:r>
      <w:r>
        <w:tab/>
      </w:r>
      <w:r>
        <w:t>Joint Revenue Board</w:t>
      </w:r>
    </w:p>
    <w:p w14:paraId="552D8CBA">
      <w:pPr>
        <w:pStyle w:val="9"/>
        <w:spacing w:before="0" w:beforeAutospacing="0" w:after="0" w:afterAutospacing="0"/>
      </w:pPr>
      <w:r>
        <w:t xml:space="preserve">JRBA </w:t>
      </w:r>
      <w:r>
        <w:tab/>
      </w:r>
      <w:r>
        <w:tab/>
      </w:r>
      <w:r>
        <w:tab/>
      </w:r>
      <w:r>
        <w:t>Joint Revenue Board Act</w:t>
      </w:r>
    </w:p>
    <w:p w14:paraId="38E99979">
      <w:pPr>
        <w:pStyle w:val="9"/>
        <w:spacing w:before="0" w:beforeAutospacing="0" w:after="0" w:afterAutospacing="0"/>
      </w:pPr>
      <w:r>
        <w:t xml:space="preserve">JTB </w:t>
      </w:r>
      <w:r>
        <w:tab/>
      </w:r>
      <w:r>
        <w:tab/>
      </w:r>
      <w:r>
        <w:tab/>
      </w:r>
      <w:r>
        <w:t>Joint Tax Board</w:t>
      </w:r>
    </w:p>
    <w:p w14:paraId="0BF322BD">
      <w:pPr>
        <w:pStyle w:val="9"/>
        <w:spacing w:before="0" w:beforeAutospacing="0" w:after="0" w:afterAutospacing="0"/>
      </w:pPr>
      <w:r>
        <w:t xml:space="preserve">LASJURE </w:t>
      </w:r>
      <w:r>
        <w:tab/>
      </w:r>
      <w:r>
        <w:tab/>
      </w:r>
      <w:r>
        <w:t>Law and Social Justice Review</w:t>
      </w:r>
    </w:p>
    <w:p w14:paraId="0BCEF65C">
      <w:pPr>
        <w:pStyle w:val="9"/>
        <w:spacing w:before="0" w:beforeAutospacing="0" w:after="0" w:afterAutospacing="0"/>
      </w:pPr>
      <w:r>
        <w:t xml:space="preserve">LPELR </w:t>
      </w:r>
      <w:r>
        <w:tab/>
      </w:r>
      <w:r>
        <w:tab/>
      </w:r>
      <w:r>
        <w:t>Law Pavilion Electronic Law Report</w:t>
      </w:r>
    </w:p>
    <w:p w14:paraId="16E1FE69">
      <w:pPr>
        <w:pStyle w:val="9"/>
        <w:spacing w:before="0" w:beforeAutospacing="0" w:after="0" w:afterAutospacing="0"/>
      </w:pPr>
      <w:r>
        <w:t xml:space="preserve">NCS </w:t>
      </w:r>
      <w:r>
        <w:tab/>
      </w:r>
      <w:r>
        <w:tab/>
      </w:r>
      <w:r>
        <w:tab/>
      </w:r>
      <w:r>
        <w:t>Nigeria Customs Service</w:t>
      </w:r>
    </w:p>
    <w:p w14:paraId="3A9E5C04">
      <w:pPr>
        <w:pStyle w:val="9"/>
        <w:spacing w:before="0" w:beforeAutospacing="0" w:after="0" w:afterAutospacing="0"/>
      </w:pPr>
      <w:r>
        <w:t xml:space="preserve">NESG </w:t>
      </w:r>
      <w:r>
        <w:tab/>
      </w:r>
      <w:r>
        <w:tab/>
      </w:r>
      <w:r>
        <w:tab/>
      </w:r>
      <w:r>
        <w:t>Nigerian Economic Summit Group</w:t>
      </w:r>
    </w:p>
    <w:p w14:paraId="72D3B458">
      <w:pPr>
        <w:pStyle w:val="9"/>
        <w:spacing w:before="0" w:beforeAutospacing="0" w:after="0" w:afterAutospacing="0"/>
      </w:pPr>
      <w:r>
        <w:t xml:space="preserve">NIMC </w:t>
      </w:r>
      <w:r>
        <w:tab/>
      </w:r>
      <w:r>
        <w:tab/>
      </w:r>
      <w:r>
        <w:tab/>
      </w:r>
      <w:r>
        <w:t>National Identity Management Commission</w:t>
      </w:r>
    </w:p>
    <w:p w14:paraId="42B9BF25">
      <w:pPr>
        <w:pStyle w:val="9"/>
        <w:spacing w:before="0" w:beforeAutospacing="0" w:after="0" w:afterAutospacing="0"/>
      </w:pPr>
      <w:r>
        <w:t xml:space="preserve">NITDA </w:t>
      </w:r>
      <w:r>
        <w:tab/>
      </w:r>
      <w:r>
        <w:tab/>
      </w:r>
      <w:r>
        <w:t>National Information Technology Development Agency</w:t>
      </w:r>
    </w:p>
    <w:p w14:paraId="7336B957">
      <w:pPr>
        <w:pStyle w:val="9"/>
        <w:spacing w:before="0" w:beforeAutospacing="0" w:after="0" w:afterAutospacing="0"/>
      </w:pPr>
      <w:r>
        <w:t xml:space="preserve">NJBFI </w:t>
      </w:r>
      <w:r>
        <w:tab/>
      </w:r>
      <w:r>
        <w:tab/>
      </w:r>
      <w:r>
        <w:tab/>
      </w:r>
      <w:r>
        <w:t>Nigerian Journal of Banking and Financial Issues</w:t>
      </w:r>
    </w:p>
    <w:p w14:paraId="51C3F0CE">
      <w:pPr>
        <w:pStyle w:val="9"/>
        <w:spacing w:before="0" w:beforeAutospacing="0" w:after="0" w:afterAutospacing="0"/>
      </w:pPr>
      <w:r>
        <w:t xml:space="preserve">NPM </w:t>
      </w:r>
      <w:r>
        <w:tab/>
      </w:r>
      <w:r>
        <w:tab/>
      </w:r>
      <w:r>
        <w:tab/>
      </w:r>
      <w:r>
        <w:t>New Public Management</w:t>
      </w:r>
    </w:p>
    <w:p w14:paraId="014B9D1D">
      <w:pPr>
        <w:pStyle w:val="9"/>
        <w:spacing w:before="0" w:beforeAutospacing="0" w:after="0" w:afterAutospacing="0"/>
      </w:pPr>
      <w:r>
        <w:t xml:space="preserve">NRS </w:t>
      </w:r>
      <w:r>
        <w:tab/>
      </w:r>
      <w:r>
        <w:tab/>
      </w:r>
      <w:r>
        <w:tab/>
      </w:r>
      <w:r>
        <w:t>Nigeria Revenue Service</w:t>
      </w:r>
    </w:p>
    <w:p w14:paraId="52025AFD">
      <w:pPr>
        <w:pStyle w:val="9"/>
        <w:spacing w:before="0" w:beforeAutospacing="0" w:after="0" w:afterAutospacing="0"/>
      </w:pPr>
      <w:r>
        <w:t xml:space="preserve">NRSA </w:t>
      </w:r>
      <w:r>
        <w:tab/>
      </w:r>
      <w:r>
        <w:tab/>
      </w:r>
      <w:r>
        <w:tab/>
      </w:r>
      <w:r>
        <w:t>Nigeria Revenue Service Act</w:t>
      </w:r>
    </w:p>
    <w:p w14:paraId="329136EC">
      <w:pPr>
        <w:pStyle w:val="9"/>
        <w:spacing w:before="0" w:beforeAutospacing="0" w:after="0" w:afterAutospacing="0"/>
      </w:pPr>
      <w:r>
        <w:t xml:space="preserve">NTA </w:t>
      </w:r>
      <w:r>
        <w:tab/>
      </w:r>
      <w:r>
        <w:tab/>
      </w:r>
      <w:r>
        <w:tab/>
      </w:r>
      <w:r>
        <w:t>Nigeria Tax Act</w:t>
      </w:r>
    </w:p>
    <w:p w14:paraId="6EE2591C">
      <w:pPr>
        <w:pStyle w:val="9"/>
        <w:spacing w:before="0" w:beforeAutospacing="0" w:after="0" w:afterAutospacing="0"/>
      </w:pPr>
      <w:r>
        <w:t xml:space="preserve">NTAA </w:t>
      </w:r>
      <w:r>
        <w:tab/>
      </w:r>
      <w:r>
        <w:tab/>
      </w:r>
      <w:r>
        <w:t>Nigeria Tax Administration Act</w:t>
      </w:r>
    </w:p>
    <w:p w14:paraId="1A21A391">
      <w:pPr>
        <w:pStyle w:val="9"/>
        <w:spacing w:before="0" w:beforeAutospacing="0" w:after="0" w:afterAutospacing="0"/>
      </w:pPr>
      <w:r>
        <w:t xml:space="preserve">NWLR </w:t>
      </w:r>
      <w:r>
        <w:tab/>
      </w:r>
      <w:r>
        <w:tab/>
      </w:r>
      <w:r>
        <w:t>Nigerian Weekly Law Reports</w:t>
      </w:r>
    </w:p>
    <w:p w14:paraId="42A5608E">
      <w:pPr>
        <w:pStyle w:val="9"/>
        <w:spacing w:before="0" w:beforeAutospacing="0" w:after="0" w:afterAutospacing="0"/>
      </w:pPr>
      <w:r>
        <w:t xml:space="preserve">OUP </w:t>
      </w:r>
      <w:r>
        <w:tab/>
      </w:r>
      <w:r>
        <w:tab/>
      </w:r>
      <w:r>
        <w:tab/>
      </w:r>
      <w:r>
        <w:t>Oxford University Press</w:t>
      </w:r>
    </w:p>
    <w:p w14:paraId="29727DE5">
      <w:pPr>
        <w:pStyle w:val="9"/>
        <w:spacing w:before="0" w:beforeAutospacing="0" w:after="0" w:afterAutospacing="0"/>
      </w:pPr>
      <w:r>
        <w:t xml:space="preserve">PwC </w:t>
      </w:r>
      <w:r>
        <w:tab/>
      </w:r>
      <w:r>
        <w:tab/>
      </w:r>
      <w:r>
        <w:tab/>
      </w:r>
      <w:r>
        <w:t>PricewaterhouseCoopers</w:t>
      </w:r>
    </w:p>
    <w:p w14:paraId="7FDE3337">
      <w:pPr>
        <w:pStyle w:val="9"/>
        <w:spacing w:before="0" w:beforeAutospacing="0" w:after="0" w:afterAutospacing="0"/>
      </w:pPr>
      <w:r>
        <w:t xml:space="preserve">RMAFC </w:t>
      </w:r>
      <w:r>
        <w:tab/>
      </w:r>
      <w:r>
        <w:tab/>
      </w:r>
      <w:r>
        <w:t>Revenue Mobilisation Allocation and Fiscal Commission</w:t>
      </w:r>
    </w:p>
    <w:p w14:paraId="711ABA8D">
      <w:pPr>
        <w:pStyle w:val="9"/>
        <w:spacing w:before="0" w:beforeAutospacing="0" w:after="0" w:afterAutospacing="0"/>
      </w:pPr>
      <w:r>
        <w:t xml:space="preserve">SC </w:t>
      </w:r>
      <w:r>
        <w:tab/>
      </w:r>
      <w:r>
        <w:tab/>
      </w:r>
      <w:r>
        <w:tab/>
      </w:r>
      <w:r>
        <w:t>Supreme Court</w:t>
      </w:r>
    </w:p>
    <w:p w14:paraId="0BFFD16B">
      <w:pPr>
        <w:pStyle w:val="9"/>
        <w:spacing w:before="0" w:beforeAutospacing="0" w:after="0" w:afterAutospacing="0"/>
      </w:pPr>
      <w:r>
        <w:t xml:space="preserve">SIRS </w:t>
      </w:r>
      <w:r>
        <w:tab/>
      </w:r>
      <w:r>
        <w:tab/>
      </w:r>
      <w:r>
        <w:tab/>
      </w:r>
      <w:r>
        <w:t>State Internal Revenue Service</w:t>
      </w:r>
    </w:p>
    <w:p w14:paraId="43DAB8EF">
      <w:pPr>
        <w:pStyle w:val="9"/>
        <w:spacing w:before="0" w:beforeAutospacing="0" w:after="0" w:afterAutospacing="0"/>
      </w:pPr>
      <w:r>
        <w:t xml:space="preserve">SMEs </w:t>
      </w:r>
      <w:r>
        <w:tab/>
      </w:r>
      <w:r>
        <w:tab/>
      </w:r>
      <w:r>
        <w:tab/>
      </w:r>
      <w:r>
        <w:t>Small and Medium-sized Enterprises</w:t>
      </w:r>
    </w:p>
    <w:p w14:paraId="4E96D870">
      <w:pPr>
        <w:pStyle w:val="9"/>
        <w:spacing w:before="0" w:beforeAutospacing="0" w:after="0" w:afterAutospacing="0"/>
      </w:pPr>
      <w:r>
        <w:t xml:space="preserve">SOFR </w:t>
      </w:r>
      <w:r>
        <w:tab/>
      </w:r>
      <w:r>
        <w:tab/>
      </w:r>
      <w:r>
        <w:tab/>
      </w:r>
      <w:r>
        <w:t>Secured Overnight Financing Rate</w:t>
      </w:r>
    </w:p>
    <w:p w14:paraId="09544F3E">
      <w:pPr>
        <w:pStyle w:val="9"/>
        <w:spacing w:before="0" w:beforeAutospacing="0" w:after="0" w:afterAutospacing="0"/>
      </w:pPr>
      <w:r>
        <w:t xml:space="preserve">SSRN </w:t>
      </w:r>
      <w:r>
        <w:tab/>
      </w:r>
      <w:r>
        <w:tab/>
      </w:r>
      <w:r>
        <w:tab/>
      </w:r>
      <w:r>
        <w:t>Social Science Research Network</w:t>
      </w:r>
    </w:p>
    <w:p w14:paraId="543C192A">
      <w:pPr>
        <w:pStyle w:val="9"/>
        <w:spacing w:before="0" w:beforeAutospacing="0" w:after="0" w:afterAutospacing="0"/>
      </w:pPr>
      <w:r>
        <w:t xml:space="preserve">TAT </w:t>
      </w:r>
      <w:r>
        <w:tab/>
      </w:r>
      <w:r>
        <w:tab/>
      </w:r>
      <w:r>
        <w:tab/>
      </w:r>
      <w:r>
        <w:t>Tax Appeal Tribunal</w:t>
      </w:r>
    </w:p>
    <w:p w14:paraId="5A27618A">
      <w:pPr>
        <w:pStyle w:val="9"/>
        <w:spacing w:before="0" w:beforeAutospacing="0" w:after="0" w:afterAutospacing="0"/>
      </w:pPr>
      <w:r>
        <w:t xml:space="preserve">VAT </w:t>
      </w:r>
      <w:r>
        <w:tab/>
      </w:r>
      <w:r>
        <w:tab/>
      </w:r>
      <w:r>
        <w:tab/>
      </w:r>
      <w:r>
        <w:t>Value Added Tax</w:t>
      </w:r>
    </w:p>
    <w:p w14:paraId="5E4E096E">
      <w:pPr>
        <w:pStyle w:val="9"/>
        <w:spacing w:before="0" w:beforeAutospacing="0" w:after="0" w:afterAutospacing="0"/>
      </w:pPr>
      <w:r>
        <w:t xml:space="preserve">WHT </w:t>
      </w:r>
      <w:r>
        <w:tab/>
      </w:r>
      <w:r>
        <w:tab/>
      </w:r>
      <w:r>
        <w:tab/>
      </w:r>
      <w:r>
        <w:t>Withholding Tax</w:t>
      </w:r>
    </w:p>
    <w:p w14:paraId="022286C8">
      <w:pPr>
        <w:spacing w:after="0"/>
        <w:rPr>
          <w:rFonts w:ascii="Times New Roman" w:hAnsi="Times New Roman" w:cs="Times New Roman"/>
        </w:rPr>
      </w:pPr>
    </w:p>
    <w:p w14:paraId="2E6C13A0">
      <w:pPr>
        <w:rPr>
          <w:rFonts w:ascii="Times New Roman" w:hAnsi="Times New Roman" w:cs="Times New Roman"/>
          <w:sz w:val="24"/>
          <w:szCs w:val="24"/>
        </w:rPr>
      </w:pPr>
      <w:r>
        <w:rPr>
          <w:rFonts w:ascii="Times New Roman" w:hAnsi="Times New Roman" w:cs="Times New Roman"/>
          <w:sz w:val="24"/>
          <w:szCs w:val="24"/>
        </w:rPr>
        <w:br w:type="page"/>
      </w:r>
    </w:p>
    <w:p w14:paraId="5B0DB764">
      <w:pPr>
        <w:pStyle w:val="2"/>
      </w:pPr>
      <w:bookmarkStart w:id="6" w:name="_Toc233686175"/>
      <w:r>
        <w:t>ABSTRACT</w:t>
      </w:r>
      <w:bookmarkEnd w:id="6"/>
      <w:r>
        <w:t xml:space="preserve"> </w:t>
      </w:r>
    </w:p>
    <w:p w14:paraId="701C6D0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Taxation is a fundamental instrument of governance because it provides the legal and financial basis through which the state raises revenue for public administration, infrastructure, social services and economic development. In Nigeria, however, the tax system has been weakened by multiplicity of taxes, overlapping institutions, low compliance, weak coordination among institutions, and disputes over taxing powers within the federal structure. These problems have made tax reform an issue in the fiscal and legal development in Nigeria. Against this background, the administration of President Bola Ahmed Tinubu introduced a comprehensive tax reform agenda which is aimed at restructuring the legal and institutional framework for taxation in Nigeria. This project examines the Tax Reforms under Ahmed Tinubu’s Administration in Nigeria. The objectives include; to assess Tax Reforms under Ahmed Tinubu’s Administration in Nigeria; to assess the impacts of the Tax Reforms under Ahmed Tinubu’s Administration in Nigeria; to assess the challenges in the implementation of the Tax Reforms. This</w:t>
      </w:r>
      <w:r>
        <w:rPr>
          <w:rFonts w:ascii="Times New Roman" w:hAnsi="Times New Roman" w:cs="Times New Roman"/>
          <w:sz w:val="24"/>
          <w:szCs w:val="24"/>
          <w:lang w:val="en-US"/>
        </w:rPr>
        <w:t xml:space="preserve"> project adopts a doctrinal methodology. It relies on statutes, judicial authorities, policy documents, textbooks, journal articles, professional commentaries and other secondary sources. This project finds that the Tinubu tax reforms represent an attempt to modernise tax system in Nigeria. It simplifies the tax laws, improves coordination among revenue authorities, expands digital administration, strengthens dispute resolution and create mechanisms for taxpayer to lay complaint. However, the study also found that the success of the reforms depends on effective implementation, institutional capacity, taxpayer education, respect for limits in the constitution and preventing arbitrary enforcement. This project concludes that the reforms would improve tax administration and revenue generation. However, legitimacy depends on whether they balance fiscal efficiency with fairness, legality, transparency and taxpayer confidence.</w:t>
      </w:r>
    </w:p>
    <w:p w14:paraId="180C9F3C">
      <w:pPr>
        <w:spacing w:line="480" w:lineRule="auto"/>
        <w:outlineLvl w:val="1"/>
        <w:rPr>
          <w:rFonts w:ascii="Times New Roman" w:hAnsi="Times New Roman" w:eastAsia="Times New Roman" w:cs="Times New Roman"/>
          <w:bCs/>
          <w:sz w:val="24"/>
          <w:szCs w:val="24"/>
        </w:rPr>
      </w:pPr>
    </w:p>
    <w:p w14:paraId="59350056">
      <w:pPr>
        <w:spacing w:line="480" w:lineRule="auto"/>
        <w:outlineLvl w:val="1"/>
        <w:rPr>
          <w:rFonts w:ascii="Times New Roman" w:hAnsi="Times New Roman" w:eastAsia="Times New Roman" w:cs="Times New Roman"/>
          <w:bCs/>
          <w:sz w:val="24"/>
          <w:szCs w:val="24"/>
        </w:rPr>
      </w:pPr>
    </w:p>
    <w:p w14:paraId="3C582F0B">
      <w:pPr>
        <w:spacing w:line="480" w:lineRule="auto"/>
        <w:outlineLvl w:val="1"/>
        <w:rPr>
          <w:rFonts w:ascii="Times New Roman" w:hAnsi="Times New Roman" w:eastAsia="Times New Roman" w:cs="Times New Roman"/>
          <w:bCs/>
          <w:sz w:val="24"/>
          <w:szCs w:val="24"/>
        </w:rPr>
      </w:pPr>
    </w:p>
    <w:p w14:paraId="612FEDC6">
      <w:pPr>
        <w:spacing w:line="480" w:lineRule="auto"/>
        <w:outlineLvl w:val="1"/>
        <w:rPr>
          <w:rFonts w:ascii="Times New Roman" w:hAnsi="Times New Roman" w:eastAsia="Times New Roman" w:cs="Times New Roman"/>
          <w:bCs/>
          <w:sz w:val="24"/>
          <w:szCs w:val="24"/>
        </w:rPr>
      </w:pPr>
    </w:p>
    <w:p w14:paraId="2909B809">
      <w:pPr>
        <w:spacing w:line="480" w:lineRule="auto"/>
        <w:outlineLvl w:val="1"/>
        <w:rPr>
          <w:rFonts w:ascii="Times New Roman" w:hAnsi="Times New Roman" w:eastAsia="Times New Roman" w:cs="Times New Roman"/>
          <w:bCs/>
          <w:sz w:val="24"/>
          <w:szCs w:val="24"/>
        </w:rPr>
      </w:pPr>
    </w:p>
    <w:p w14:paraId="3E1D9285">
      <w:pPr>
        <w:spacing w:line="480" w:lineRule="auto"/>
        <w:outlineLvl w:val="1"/>
        <w:rPr>
          <w:rFonts w:ascii="Times New Roman" w:hAnsi="Times New Roman" w:eastAsia="Times New Roman" w:cs="Times New Roman"/>
          <w:bCs/>
          <w:sz w:val="24"/>
          <w:szCs w:val="24"/>
        </w:rPr>
      </w:pPr>
    </w:p>
    <w:p w14:paraId="195699F0">
      <w:pPr>
        <w:rPr>
          <w:rFonts w:ascii="Times New Roman" w:hAnsi="Times New Roman" w:eastAsia="Times New Roman" w:cs="Times New Roman"/>
          <w:b/>
          <w:bCs/>
          <w:sz w:val="24"/>
          <w:szCs w:val="24"/>
        </w:rPr>
        <w:sectPr>
          <w:headerReference r:id="rId4" w:type="default"/>
          <w:footerReference r:id="rId5" w:type="default"/>
          <w:pgSz w:w="11907" w:h="16839"/>
          <w:pgMar w:top="1440" w:right="1440" w:bottom="1440" w:left="1440" w:header="720" w:footer="720" w:gutter="0"/>
          <w:pgNumType w:fmt="lowerRoman" w:start="1"/>
          <w:cols w:space="720" w:num="1"/>
          <w:docGrid w:linePitch="360" w:charSpace="0"/>
        </w:sectPr>
      </w:pPr>
      <w:r>
        <w:rPr>
          <w:rFonts w:ascii="Times New Roman" w:hAnsi="Times New Roman" w:eastAsia="Times New Roman" w:cs="Times New Roman"/>
          <w:b/>
          <w:bCs/>
          <w:sz w:val="24"/>
          <w:szCs w:val="24"/>
        </w:rPr>
        <w:br w:type="page"/>
      </w:r>
    </w:p>
    <w:p w14:paraId="0ABBC7CE">
      <w:pPr>
        <w:pStyle w:val="2"/>
      </w:pPr>
      <w:bookmarkStart w:id="7" w:name="_Toc233686176"/>
      <w:r>
        <w:t>CHAPTER ONE</w:t>
      </w:r>
      <w:bookmarkEnd w:id="7"/>
    </w:p>
    <w:p w14:paraId="05480281">
      <w:pPr>
        <w:pStyle w:val="2"/>
      </w:pPr>
      <w:bookmarkStart w:id="8" w:name="_Toc233686177"/>
      <w:r>
        <w:t>INTRODUCTION</w:t>
      </w:r>
      <w:bookmarkEnd w:id="8"/>
    </w:p>
    <w:p w14:paraId="246FD0A3">
      <w:pPr>
        <w:pStyle w:val="3"/>
      </w:pPr>
      <w:bookmarkStart w:id="9" w:name="_Toc233686178"/>
      <w:r>
        <w:t xml:space="preserve">1.1 </w:t>
      </w:r>
      <w:r>
        <w:tab/>
      </w:r>
      <w:r>
        <w:t>Background to the Study</w:t>
      </w:r>
      <w:bookmarkEnd w:id="9"/>
    </w:p>
    <w:p w14:paraId="4E8889B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Taxation is an instrument through which the state funds infrastructure and services. It is also a legal mechanism through which the state exercises compulsory authority over citizens, companies and transactions. For this reason, every valid tax must be founded on law and it must also be imposed by a competent authority as well as administered in a manner which is consistent with the constitution. Yet, lack of trust from public undermines the performance of the tax system in Nigeria. More so, the “fiscal social contract” is strained.</w:t>
      </w:r>
      <w:r>
        <w:rPr>
          <w:rStyle w:val="16"/>
          <w:rFonts w:ascii="Times New Roman" w:hAnsi="Times New Roman" w:eastAsia="Times New Roman" w:cs="Times New Roman"/>
          <w:sz w:val="24"/>
          <w:szCs w:val="24"/>
        </w:rPr>
        <w:footnoteReference w:id="0"/>
      </w:r>
      <w:r>
        <w:rPr>
          <w:rFonts w:ascii="Times New Roman" w:hAnsi="Times New Roman" w:eastAsia="Times New Roman" w:cs="Times New Roman"/>
          <w:sz w:val="24"/>
          <w:szCs w:val="24"/>
        </w:rPr>
        <w:t xml:space="preserve"> Citizens and businesses assume that taxation is a coercive extraction, not a reciprocal exchange for public services. This distrust is rooted in the weaknesses in tax system in Nigeria, including multiplicity of taxes, overlapping authorities for revenue, weak data, low compliance, and the perception that public revenue is not always translated into public welfare. Consequently, the problem of taxation in Nigeria has never been limited to revenue collection alone. It also includes legality, accountability, administrative efficiency and taxpayer confidence.</w:t>
      </w:r>
    </w:p>
    <w:p w14:paraId="725721E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Furthermore, the federal structure in Nigeria complicates tax administration because taxing are distributed among the federal, state and local governments. This creates disputes over legislative competence, double taxation, consumption taxes, levies and the limits of revenue authorities. Therefore, any tax reform in Nigeria must be assessed not only from an economic perspective but also from a constitutional and institutional perspective. President Bola Ahmed Tinubu’s administration assumed office in May 2023 amid severe fiscal pressures. This includes rising debt service costs, revenue underperformance, inflationary pressures and a cost-of-living crisis intensified by structural reforms in other sectors.</w:t>
      </w:r>
      <w:r>
        <w:rPr>
          <w:rStyle w:val="16"/>
          <w:rFonts w:ascii="Times New Roman" w:hAnsi="Times New Roman" w:eastAsia="Times New Roman" w:cs="Times New Roman"/>
          <w:sz w:val="24"/>
          <w:szCs w:val="24"/>
        </w:rPr>
        <w:footnoteReference w:id="1"/>
      </w:r>
      <w:r>
        <w:rPr>
          <w:rFonts w:ascii="Times New Roman" w:hAnsi="Times New Roman" w:eastAsia="Times New Roman" w:cs="Times New Roman"/>
          <w:sz w:val="24"/>
          <w:szCs w:val="24"/>
        </w:rPr>
        <w:t xml:space="preserve"> Against this context, the administration moved towards a “once-in-a-generation” attempt to </w:t>
      </w:r>
      <w:r>
        <w:rPr>
          <w:rFonts w:ascii="Times New Roman" w:hAnsi="Times New Roman" w:eastAsia="Times New Roman" w:cs="Times New Roman"/>
          <w:bCs/>
          <w:sz w:val="24"/>
          <w:szCs w:val="24"/>
        </w:rPr>
        <w:t xml:space="preserve">rebuild the architecture of the tax system </w:t>
      </w:r>
      <w:r>
        <w:rPr>
          <w:rFonts w:ascii="Times New Roman" w:hAnsi="Times New Roman" w:eastAsia="Times New Roman" w:cs="Times New Roman"/>
          <w:sz w:val="24"/>
          <w:szCs w:val="24"/>
        </w:rPr>
        <w:t>through institutional reform, harmonisation, digitisation, and consolidation of fragmented tax laws.</w:t>
      </w:r>
      <w:r>
        <w:rPr>
          <w:rStyle w:val="16"/>
          <w:rFonts w:ascii="Times New Roman" w:hAnsi="Times New Roman" w:eastAsia="Times New Roman" w:cs="Times New Roman"/>
          <w:sz w:val="24"/>
          <w:szCs w:val="24"/>
        </w:rPr>
        <w:footnoteReference w:id="2"/>
      </w:r>
    </w:p>
    <w:p w14:paraId="2E74128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It established the </w:t>
      </w:r>
      <w:r>
        <w:rPr>
          <w:rFonts w:ascii="Times New Roman" w:hAnsi="Times New Roman" w:eastAsia="Times New Roman" w:cs="Times New Roman"/>
          <w:bCs/>
          <w:sz w:val="24"/>
          <w:szCs w:val="24"/>
        </w:rPr>
        <w:t>Presidential Committee on Fiscal Policy and Tax Reforms</w:t>
      </w:r>
      <w:r>
        <w:rPr>
          <w:rFonts w:ascii="Times New Roman" w:hAnsi="Times New Roman" w:eastAsia="Times New Roman" w:cs="Times New Roman"/>
          <w:sz w:val="24"/>
          <w:szCs w:val="24"/>
        </w:rPr>
        <w:t xml:space="preserve"> and it is chaired by Taiwo Oyedele. The committee has a mandate to review and redesign the fiscal framework (revenue mobilisation, spending quality, and sustainable debt management) in Nigeria.</w:t>
      </w:r>
      <w:r>
        <w:rPr>
          <w:rStyle w:val="16"/>
          <w:rFonts w:ascii="Times New Roman" w:hAnsi="Times New Roman" w:eastAsia="Times New Roman" w:cs="Times New Roman"/>
          <w:sz w:val="24"/>
          <w:szCs w:val="24"/>
        </w:rPr>
        <w:footnoteReference w:id="3"/>
      </w:r>
      <w:r>
        <w:rPr>
          <w:rFonts w:ascii="Times New Roman" w:hAnsi="Times New Roman" w:eastAsia="Times New Roman" w:cs="Times New Roman"/>
          <w:sz w:val="24"/>
          <w:szCs w:val="24"/>
        </w:rPr>
        <w:t xml:space="preserve"> The establishment of the Committee signalled that the administration treat tax administration as fiscal restructuring agenda which involves legal reform, institutional coordination, taxpayer compliance, public finance management and economic growth. It would also propose reforms for inclusive growth and to make investment attractive.</w:t>
      </w:r>
      <w:r>
        <w:rPr>
          <w:rStyle w:val="16"/>
          <w:rFonts w:ascii="Times New Roman" w:hAnsi="Times New Roman" w:eastAsia="Times New Roman" w:cs="Times New Roman"/>
          <w:sz w:val="24"/>
          <w:szCs w:val="24"/>
        </w:rPr>
        <w:footnoteReference w:id="4"/>
      </w:r>
      <w:r>
        <w:rPr>
          <w:rFonts w:ascii="Times New Roman" w:hAnsi="Times New Roman" w:eastAsia="Times New Roman" w:cs="Times New Roman"/>
          <w:sz w:val="24"/>
          <w:szCs w:val="24"/>
        </w:rPr>
        <w:t xml:space="preserve"> The Committee made proposal to the National Assembly for the tax reform bills and thus a consolidated legislative package emerged.</w:t>
      </w:r>
      <w:r>
        <w:rPr>
          <w:rStyle w:val="16"/>
          <w:rFonts w:ascii="Times New Roman" w:hAnsi="Times New Roman" w:eastAsia="Times New Roman" w:cs="Times New Roman"/>
          <w:sz w:val="24"/>
          <w:szCs w:val="24"/>
        </w:rPr>
        <w:footnoteReference w:id="5"/>
      </w:r>
      <w:r>
        <w:rPr>
          <w:rFonts w:ascii="Times New Roman" w:hAnsi="Times New Roman" w:eastAsia="Times New Roman" w:cs="Times New Roman"/>
          <w:sz w:val="24"/>
          <w:szCs w:val="24"/>
        </w:rPr>
        <w:t xml:space="preserve"> </w:t>
      </w:r>
    </w:p>
    <w:p w14:paraId="6A7FBB7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By June 2025, the President assented to </w:t>
      </w:r>
      <w:r>
        <w:rPr>
          <w:rFonts w:ascii="Times New Roman" w:hAnsi="Times New Roman" w:eastAsia="Times New Roman" w:cs="Times New Roman"/>
          <w:bCs/>
          <w:sz w:val="24"/>
          <w:szCs w:val="24"/>
        </w:rPr>
        <w:t>four flagship “Tax Reform Acts”</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Nigeria Tax Act (NTA), Nigeria Tax Administration Act (NTAA), Nigeria Revenue Service Act (NRSA), and Joint Revenue Board Act (JRBA)</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6"/>
      </w:r>
      <w:r>
        <w:rPr>
          <w:rFonts w:ascii="Times New Roman" w:hAnsi="Times New Roman" w:eastAsia="Times New Roman" w:cs="Times New Roman"/>
          <w:sz w:val="24"/>
          <w:szCs w:val="24"/>
        </w:rPr>
        <w:t xml:space="preserve"> These statutes represent a shift from tax amendments in a piecemeal manner to a comprehensive restructuring of tax system in Nigreia. They consolidate substantive tax rules, harmonise administration, reconstitute federal revenue collection, strengthen inter-governmental coordination and create mechanisms for tax dispute resolution and taxpayer complaints. The tax reforms under the Tinubu’s administration emerged at a time when Nigerians were sensitive to policy shocks affecting household welfare. This explains the public controversy around new or formalised levies such as the </w:t>
      </w:r>
      <w:r>
        <w:rPr>
          <w:rFonts w:ascii="Times New Roman" w:hAnsi="Times New Roman" w:eastAsia="Times New Roman" w:cs="Times New Roman"/>
          <w:bCs/>
          <w:sz w:val="24"/>
          <w:szCs w:val="24"/>
        </w:rPr>
        <w:t>5% fossil fuel surcharge</w:t>
      </w:r>
      <w:r>
        <w:rPr>
          <w:rFonts w:ascii="Times New Roman" w:hAnsi="Times New Roman" w:eastAsia="Times New Roman" w:cs="Times New Roman"/>
          <w:sz w:val="24"/>
          <w:szCs w:val="24"/>
        </w:rPr>
        <w:t xml:space="preserve"> and the political decision to delay implementation to reduce immediate welfare burdens.</w:t>
      </w:r>
      <w:r>
        <w:rPr>
          <w:rStyle w:val="16"/>
          <w:rFonts w:ascii="Times New Roman" w:hAnsi="Times New Roman" w:eastAsia="Times New Roman" w:cs="Times New Roman"/>
          <w:sz w:val="24"/>
          <w:szCs w:val="24"/>
        </w:rPr>
        <w:footnoteReference w:id="7"/>
      </w:r>
    </w:p>
    <w:p w14:paraId="4F3D7B34">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Taxation is governed by the classical idea </w:t>
      </w:r>
      <w:r>
        <w:rPr>
          <w:rFonts w:ascii="Times New Roman" w:hAnsi="Times New Roman" w:eastAsia="Times New Roman" w:cs="Times New Roman"/>
          <w:bCs/>
          <w:sz w:val="24"/>
          <w:szCs w:val="24"/>
        </w:rPr>
        <w:t>“nullum tributum sine lege”</w:t>
      </w:r>
      <w:r>
        <w:rPr>
          <w:rFonts w:ascii="Times New Roman" w:hAnsi="Times New Roman" w:eastAsia="Times New Roman" w:cs="Times New Roman"/>
          <w:sz w:val="24"/>
          <w:szCs w:val="24"/>
        </w:rPr>
        <w:t xml:space="preserve"> (no taxation without law). Tax must rest on valid legislation and it must be administered by competent authorities. Where reform expands administrative powers, it must still comply with constitutionalism. In light of this, there is a need to examine the Tax reforms under the Ahmed Tinubu’s administration. </w:t>
      </w:r>
    </w:p>
    <w:p w14:paraId="098D41F4">
      <w:pPr>
        <w:pStyle w:val="3"/>
      </w:pPr>
      <w:bookmarkStart w:id="10" w:name="_Toc233686179"/>
      <w:r>
        <w:t xml:space="preserve">1.2 </w:t>
      </w:r>
      <w:r>
        <w:tab/>
      </w:r>
      <w:r>
        <w:t>Statement of the Problem</w:t>
      </w:r>
      <w:bookmarkEnd w:id="10"/>
    </w:p>
    <w:p w14:paraId="20E7858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Despite repeated reforms (including annual/periodic finance acts), tax system in Nigeria has long exhibited structural weaknesses: these includes multiplicity of taxes, overlapping mandates across agencies, non-compliance, weak data systems, and limited trust in the management of public finance. The reforms under the Tinubu administration claim to address these weaknesses through institutional restructuring and technology-driven administration.</w:t>
      </w:r>
      <w:r>
        <w:rPr>
          <w:rStyle w:val="16"/>
          <w:rFonts w:ascii="Times New Roman" w:hAnsi="Times New Roman" w:eastAsia="Times New Roman" w:cs="Times New Roman"/>
          <w:sz w:val="24"/>
          <w:szCs w:val="24"/>
        </w:rPr>
        <w:footnoteReference w:id="8"/>
      </w:r>
      <w:r>
        <w:rPr>
          <w:rFonts w:ascii="Times New Roman" w:hAnsi="Times New Roman" w:eastAsia="Times New Roman" w:cs="Times New Roman"/>
          <w:sz w:val="24"/>
          <w:szCs w:val="24"/>
        </w:rPr>
        <w:t xml:space="preserve"> </w:t>
      </w:r>
    </w:p>
    <w:p w14:paraId="5AB68FA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Yet, </w:t>
      </w:r>
      <w:r>
        <w:rPr>
          <w:rFonts w:ascii="Times New Roman" w:hAnsi="Times New Roman" w:eastAsia="Times New Roman" w:cs="Times New Roman"/>
          <w:bCs/>
          <w:sz w:val="24"/>
          <w:szCs w:val="24"/>
        </w:rPr>
        <w:t>three major problems</w:t>
      </w:r>
      <w:r>
        <w:rPr>
          <w:rFonts w:ascii="Times New Roman" w:hAnsi="Times New Roman" w:eastAsia="Times New Roman" w:cs="Times New Roman"/>
          <w:sz w:val="24"/>
          <w:szCs w:val="24"/>
        </w:rPr>
        <w:t xml:space="preserve"> remain significant. </w:t>
      </w:r>
      <w:r>
        <w:rPr>
          <w:rFonts w:ascii="Times New Roman" w:hAnsi="Times New Roman" w:eastAsia="Times New Roman" w:cs="Times New Roman"/>
          <w:bCs/>
          <w:sz w:val="24"/>
          <w:szCs w:val="24"/>
        </w:rPr>
        <w:t>Firstly</w:t>
      </w:r>
      <w:r>
        <w:rPr>
          <w:rFonts w:ascii="Times New Roman" w:hAnsi="Times New Roman" w:eastAsia="Times New Roman" w:cs="Times New Roman"/>
          <w:sz w:val="24"/>
          <w:szCs w:val="24"/>
        </w:rPr>
        <w:t xml:space="preserve">, the reform agenda implicates constitutional and federalism tensions. Consumption taxation (VAT-like taxes) has generated litigation and disputes about competence between Federal and State authorities. The Supreme Court’s reasoning in </w:t>
      </w:r>
      <w:r>
        <w:rPr>
          <w:rFonts w:ascii="Times New Roman" w:hAnsi="Times New Roman" w:eastAsia="Times New Roman" w:cs="Times New Roman"/>
          <w:bCs/>
          <w:sz w:val="24"/>
          <w:szCs w:val="24"/>
        </w:rPr>
        <w:t>A-G Lagos State v Eko Hotels Ltd and anor</w:t>
      </w:r>
      <w:r>
        <w:rPr>
          <w:rStyle w:val="16"/>
          <w:rFonts w:ascii="Times New Roman" w:hAnsi="Times New Roman" w:eastAsia="Times New Roman" w:cs="Times New Roman"/>
          <w:bCs/>
          <w:sz w:val="24"/>
          <w:szCs w:val="24"/>
        </w:rPr>
        <w:footnoteReference w:id="9"/>
      </w:r>
      <w:r>
        <w:rPr>
          <w:rFonts w:ascii="Times New Roman" w:hAnsi="Times New Roman" w:eastAsia="Times New Roman" w:cs="Times New Roman"/>
          <w:sz w:val="24"/>
          <w:szCs w:val="24"/>
        </w:rPr>
        <w:t xml:space="preserve"> underscores the doctrine that where federal legislation occupies the field, state laws that duplicate the same tax base in a way that results in double taxation are unconstitutional/inoperative to the extent of inconsistency. The VAT controversy also exposed uncertainty and institutional rivalry in fiscal federalism in Nigeria.</w:t>
      </w:r>
      <w:r>
        <w:rPr>
          <w:rStyle w:val="16"/>
          <w:rFonts w:ascii="Times New Roman" w:hAnsi="Times New Roman" w:eastAsia="Times New Roman" w:cs="Times New Roman"/>
          <w:sz w:val="24"/>
          <w:szCs w:val="24"/>
        </w:rPr>
        <w:footnoteReference w:id="10"/>
      </w:r>
    </w:p>
    <w:p w14:paraId="194F863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Secondly</w:t>
      </w:r>
      <w:r>
        <w:rPr>
          <w:rFonts w:ascii="Times New Roman" w:hAnsi="Times New Roman" w:eastAsia="Times New Roman" w:cs="Times New Roman"/>
          <w:sz w:val="24"/>
          <w:szCs w:val="24"/>
        </w:rPr>
        <w:t>, implementation is a central constraint. Digitisation reforms (such as e-invoicing and real-time reporting) promise efficiency and transparency. However, they face infrastructural deficits and uneven readiness among taxpayers (especially SMEs). Evidence from public notices and professional commentary indicates that compliance timetables for e-invoicing obligations are often phased or delayed.</w:t>
      </w:r>
      <w:r>
        <w:rPr>
          <w:rStyle w:val="16"/>
          <w:rFonts w:ascii="Times New Roman" w:hAnsi="Times New Roman" w:eastAsia="Times New Roman" w:cs="Times New Roman"/>
          <w:sz w:val="24"/>
          <w:szCs w:val="24"/>
        </w:rPr>
        <w:footnoteReference w:id="11"/>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Thirdly</w:t>
      </w:r>
      <w:r>
        <w:rPr>
          <w:rFonts w:ascii="Times New Roman" w:hAnsi="Times New Roman" w:eastAsia="Times New Roman" w:cs="Times New Roman"/>
          <w:sz w:val="24"/>
          <w:szCs w:val="24"/>
        </w:rPr>
        <w:t>, the reforms occur amid cost-of-living pressures. Tax reforms that increase effective burdens on consumption or energy may be politically combustible. This may also shape implementation. For instance, the enforcement of some aspects of the new tax law were delayed in response to living cost concerns.</w:t>
      </w:r>
      <w:r>
        <w:rPr>
          <w:rStyle w:val="16"/>
          <w:rFonts w:ascii="Times New Roman" w:hAnsi="Times New Roman" w:eastAsia="Times New Roman" w:cs="Times New Roman"/>
          <w:sz w:val="24"/>
          <w:szCs w:val="24"/>
        </w:rPr>
        <w:footnoteReference w:id="12"/>
      </w:r>
    </w:p>
    <w:p w14:paraId="7B6C2CD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Accordingly, the core problem is not identifying the Tinubu-era reforms. However, it is </w:t>
      </w:r>
      <w:r>
        <w:rPr>
          <w:rFonts w:ascii="Times New Roman" w:hAnsi="Times New Roman" w:eastAsia="Times New Roman" w:cs="Times New Roman"/>
          <w:bCs/>
          <w:sz w:val="24"/>
          <w:szCs w:val="24"/>
        </w:rPr>
        <w:t>assessing their legal basis, policy logic, distributional consequences, and implementation bottlenecks</w:t>
      </w:r>
      <w:r>
        <w:rPr>
          <w:rFonts w:ascii="Times New Roman" w:hAnsi="Times New Roman" w:eastAsia="Times New Roman" w:cs="Times New Roman"/>
          <w:sz w:val="24"/>
          <w:szCs w:val="24"/>
        </w:rPr>
        <w:t>, while measuring whether the reforms resolve the longstanding tax dysfunction in Nigeria or merely repackage it.</w:t>
      </w:r>
    </w:p>
    <w:p w14:paraId="30D29CCF">
      <w:pPr>
        <w:pStyle w:val="3"/>
      </w:pPr>
      <w:bookmarkStart w:id="11" w:name="_Toc233686180"/>
      <w:r>
        <w:t xml:space="preserve">1.3 </w:t>
      </w:r>
      <w:r>
        <w:tab/>
      </w:r>
      <w:r>
        <w:t>Research Questions</w:t>
      </w:r>
      <w:bookmarkEnd w:id="11"/>
    </w:p>
    <w:p w14:paraId="07118D7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questions emanating from this research are:</w:t>
      </w:r>
    </w:p>
    <w:p w14:paraId="1DDE2177">
      <w:pPr>
        <w:pStyle w:val="27"/>
        <w:numPr>
          <w:ilvl w:val="0"/>
          <w:numId w:val="1"/>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What are the Tax Reforms under Ahmed Tinubu’s Administration in Nigeria?</w:t>
      </w:r>
    </w:p>
    <w:p w14:paraId="2F7AA9E7">
      <w:pPr>
        <w:pStyle w:val="27"/>
        <w:numPr>
          <w:ilvl w:val="0"/>
          <w:numId w:val="1"/>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What are the Impacts of the Tax Reforms under Ahmed Tinubu’s Administration in Nigeria?</w:t>
      </w:r>
    </w:p>
    <w:p w14:paraId="352C72E6">
      <w:pPr>
        <w:pStyle w:val="27"/>
        <w:numPr>
          <w:ilvl w:val="0"/>
          <w:numId w:val="1"/>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What are the Challenges in the Implementation of the Tax Reforms?</w:t>
      </w:r>
    </w:p>
    <w:p w14:paraId="3CB12D11">
      <w:pPr>
        <w:pStyle w:val="3"/>
      </w:pPr>
      <w:bookmarkStart w:id="12" w:name="_Toc233686181"/>
      <w:r>
        <w:t xml:space="preserve">1.4 </w:t>
      </w:r>
      <w:r>
        <w:tab/>
      </w:r>
      <w:r>
        <w:t>Aim and Objectives of the Research</w:t>
      </w:r>
      <w:bookmarkEnd w:id="12"/>
    </w:p>
    <w:p w14:paraId="49BD114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The aim of </w:t>
      </w:r>
      <w:r>
        <w:rPr>
          <w:rFonts w:ascii="Times New Roman" w:hAnsi="Times New Roman" w:eastAsia="Times New Roman" w:cs="Times New Roman"/>
          <w:sz w:val="24"/>
          <w:szCs w:val="24"/>
        </w:rPr>
        <w:t xml:space="preserve">this project is to examine the </w:t>
      </w:r>
      <w:r>
        <w:rPr>
          <w:rFonts w:ascii="Times New Roman" w:hAnsi="Times New Roman" w:eastAsia="Times New Roman" w:cs="Times New Roman"/>
          <w:bCs/>
          <w:sz w:val="24"/>
          <w:szCs w:val="24"/>
        </w:rPr>
        <w:t>Tax Reforms under Ahmed Tinubu’s Administration in Nigeria</w:t>
      </w:r>
      <w:r>
        <w:rPr>
          <w:rFonts w:ascii="Times New Roman" w:hAnsi="Times New Roman" w:eastAsia="Times New Roman" w:cs="Times New Roman"/>
          <w:sz w:val="24"/>
          <w:szCs w:val="24"/>
        </w:rPr>
        <w:t>. The specific objectives include the following:</w:t>
      </w:r>
    </w:p>
    <w:p w14:paraId="261FC7AA">
      <w:pPr>
        <w:pStyle w:val="27"/>
        <w:numPr>
          <w:ilvl w:val="0"/>
          <w:numId w:val="2"/>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assess Tax Reforms under Ahmed Tinubu’s Administration in Nigeria.</w:t>
      </w:r>
    </w:p>
    <w:p w14:paraId="293DAEAB">
      <w:pPr>
        <w:pStyle w:val="27"/>
        <w:numPr>
          <w:ilvl w:val="0"/>
          <w:numId w:val="2"/>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assess the impacts of the Tax Reforms under Ahmed Tinubu’s Administration in Nigeria.</w:t>
      </w:r>
    </w:p>
    <w:p w14:paraId="7817593B">
      <w:pPr>
        <w:pStyle w:val="27"/>
        <w:numPr>
          <w:ilvl w:val="0"/>
          <w:numId w:val="2"/>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assess the challenges in the implementation of the Tax Reforms.</w:t>
      </w:r>
    </w:p>
    <w:p w14:paraId="60A644F1">
      <w:pPr>
        <w:pStyle w:val="3"/>
      </w:pPr>
      <w:bookmarkStart w:id="13" w:name="_Toc233686182"/>
      <w:r>
        <w:t xml:space="preserve">1.5 </w:t>
      </w:r>
      <w:r>
        <w:tab/>
      </w:r>
      <w:r>
        <w:t>Research Methodology</w:t>
      </w:r>
      <w:bookmarkEnd w:id="13"/>
    </w:p>
    <w:p w14:paraId="3D4092C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study adopts a </w:t>
      </w:r>
      <w:r>
        <w:rPr>
          <w:rFonts w:ascii="Times New Roman" w:hAnsi="Times New Roman" w:eastAsia="Times New Roman" w:cs="Times New Roman"/>
          <w:bCs/>
          <w:sz w:val="24"/>
          <w:szCs w:val="24"/>
        </w:rPr>
        <w:t>doctrinal (library-based) legal research method</w:t>
      </w:r>
      <w:r>
        <w:rPr>
          <w:rFonts w:ascii="Times New Roman" w:hAnsi="Times New Roman" w:eastAsia="Times New Roman" w:cs="Times New Roman"/>
          <w:sz w:val="24"/>
          <w:szCs w:val="24"/>
        </w:rPr>
        <w:t xml:space="preserve">. Doctrinal research interrogates the law as it is: statutes, regulations, bills/legislative history, case law, policy documents, and authoritative commentary. Here, the method involves: </w:t>
      </w:r>
      <w:r>
        <w:rPr>
          <w:rFonts w:ascii="Times New Roman" w:hAnsi="Times New Roman" w:eastAsia="Times New Roman" w:cs="Times New Roman"/>
          <w:bCs/>
          <w:sz w:val="24"/>
          <w:szCs w:val="24"/>
        </w:rPr>
        <w:t>Primary sources</w:t>
      </w:r>
      <w:r>
        <w:rPr>
          <w:rFonts w:ascii="Times New Roman" w:hAnsi="Times New Roman" w:eastAsia="Times New Roman" w:cs="Times New Roman"/>
          <w:sz w:val="24"/>
          <w:szCs w:val="24"/>
        </w:rPr>
        <w:t xml:space="preserve">: the 2025 tax reform legislative instruments and related official documents and case law which shape tax administration in Nigeria. </w:t>
      </w:r>
      <w:r>
        <w:rPr>
          <w:rFonts w:ascii="Times New Roman" w:hAnsi="Times New Roman" w:eastAsia="Times New Roman" w:cs="Times New Roman"/>
          <w:bCs/>
          <w:sz w:val="24"/>
          <w:szCs w:val="24"/>
        </w:rPr>
        <w:t>Judicial authorities</w:t>
      </w:r>
      <w:r>
        <w:rPr>
          <w:rFonts w:ascii="Times New Roman" w:hAnsi="Times New Roman" w:eastAsia="Times New Roman" w:cs="Times New Roman"/>
          <w:sz w:val="24"/>
          <w:szCs w:val="24"/>
        </w:rPr>
        <w:t xml:space="preserve">: Supreme Court and appellate decisions; and common law principles. </w:t>
      </w:r>
      <w:r>
        <w:rPr>
          <w:rFonts w:ascii="Times New Roman" w:hAnsi="Times New Roman" w:eastAsia="Times New Roman" w:cs="Times New Roman"/>
          <w:bCs/>
          <w:sz w:val="24"/>
          <w:szCs w:val="24"/>
        </w:rPr>
        <w:t>Secondary sources</w:t>
      </w:r>
      <w:r>
        <w:rPr>
          <w:rFonts w:ascii="Times New Roman" w:hAnsi="Times New Roman" w:eastAsia="Times New Roman" w:cs="Times New Roman"/>
          <w:sz w:val="24"/>
          <w:szCs w:val="24"/>
        </w:rPr>
        <w:t xml:space="preserve">: recent academic journal articles (2023–2025), policy briefs, and professional analyses. The doctrinal approach is justified because the subject matter is about </w:t>
      </w:r>
      <w:r>
        <w:rPr>
          <w:rFonts w:ascii="Times New Roman" w:hAnsi="Times New Roman" w:eastAsia="Times New Roman" w:cs="Times New Roman"/>
          <w:bCs/>
          <w:sz w:val="24"/>
          <w:szCs w:val="24"/>
        </w:rPr>
        <w:t>legal reforms</w:t>
      </w:r>
      <w:r>
        <w:rPr>
          <w:rFonts w:ascii="Times New Roman" w:hAnsi="Times New Roman" w:eastAsia="Times New Roman" w:cs="Times New Roman"/>
          <w:sz w:val="24"/>
          <w:szCs w:val="24"/>
        </w:rPr>
        <w:t xml:space="preserve"> and whether they are coherent with constitutions.  </w:t>
      </w:r>
    </w:p>
    <w:p w14:paraId="12D2A9B8">
      <w:pPr>
        <w:pStyle w:val="3"/>
      </w:pPr>
      <w:bookmarkStart w:id="14" w:name="_Toc233686183"/>
      <w:r>
        <w:t xml:space="preserve">1.6 </w:t>
      </w:r>
      <w:r>
        <w:tab/>
      </w:r>
      <w:r>
        <w:t>Significance of the Study</w:t>
      </w:r>
      <w:bookmarkEnd w:id="14"/>
    </w:p>
    <w:p w14:paraId="705A911E">
      <w:pPr>
        <w:spacing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sz w:val="24"/>
          <w:szCs w:val="24"/>
        </w:rPr>
        <w:t xml:space="preserve">This study is significant for several reasons. </w:t>
      </w:r>
      <w:r>
        <w:rPr>
          <w:rFonts w:ascii="Times New Roman" w:hAnsi="Times New Roman" w:eastAsia="Times New Roman" w:cs="Times New Roman"/>
          <w:bCs/>
          <w:sz w:val="24"/>
          <w:szCs w:val="24"/>
        </w:rPr>
        <w:t xml:space="preserve">On the legal plane, it maps current tax reforms against the Constitution and this shows the boundaries within which government may redesign taxes. It also explains the principles which guide disputes where federal and state authorities compete or conflict. Hence, the study highlights aspects which would withstand judicial scrutiny or which may be ultra-vires. From a policy standpoint, the study is useful to policy-makers. Finally, the research assesses the impacts of the reforms on households and businesses (especially SMEs). It tests whether the reforms align with equity in a period of economic hardship and it closes the gap between “law on paper” and “law in action.” This assesses whether the reforms resolve longstanding tax dysfunction or repackage it. </w:t>
      </w:r>
    </w:p>
    <w:p w14:paraId="3B146557">
      <w:pPr>
        <w:pStyle w:val="3"/>
      </w:pPr>
      <w:bookmarkStart w:id="15" w:name="_Toc233686184"/>
      <w:r>
        <w:t xml:space="preserve">1.7 </w:t>
      </w:r>
      <w:r>
        <w:tab/>
      </w:r>
      <w:r>
        <w:t>Scope of the Study</w:t>
      </w:r>
      <w:bookmarkEnd w:id="15"/>
    </w:p>
    <w:p w14:paraId="6CED8E0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research is confined to </w:t>
      </w:r>
      <w:r>
        <w:rPr>
          <w:rFonts w:ascii="Times New Roman" w:hAnsi="Times New Roman" w:eastAsia="Times New Roman" w:cs="Times New Roman"/>
          <w:bCs/>
          <w:sz w:val="24"/>
          <w:szCs w:val="24"/>
        </w:rPr>
        <w:t>tax reforms under the Tinubu administration (May 2023 to January 2026 implementation phase)</w:t>
      </w:r>
      <w:r>
        <w:rPr>
          <w:rFonts w:ascii="Times New Roman" w:hAnsi="Times New Roman" w:eastAsia="Times New Roman" w:cs="Times New Roman"/>
          <w:sz w:val="24"/>
          <w:szCs w:val="24"/>
        </w:rPr>
        <w:t>. It focuses on</w:t>
      </w:r>
    </w:p>
    <w:p w14:paraId="605BFA43">
      <w:pPr>
        <w:pStyle w:val="27"/>
        <w:numPr>
          <w:ilvl w:val="0"/>
          <w:numId w:val="3"/>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creation and work of the Presidential Fiscal Policy and Tax Reforms Committee; </w:t>
      </w:r>
    </w:p>
    <w:p w14:paraId="3457D7B4">
      <w:pPr>
        <w:pStyle w:val="27"/>
        <w:numPr>
          <w:ilvl w:val="0"/>
          <w:numId w:val="3"/>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enactment and core design of the 2025 tax reform legislative package (NTA/NTAA/NRSA/JRBA) and related reforms such as e-invoicing;</w:t>
      </w:r>
    </w:p>
    <w:p w14:paraId="48B94B12">
      <w:pPr>
        <w:pStyle w:val="27"/>
        <w:numPr>
          <w:ilvl w:val="0"/>
          <w:numId w:val="3"/>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impacts on revenue administration, businesses, and households; and</w:t>
      </w:r>
    </w:p>
    <w:p w14:paraId="76F227F7">
      <w:pPr>
        <w:pStyle w:val="27"/>
        <w:numPr>
          <w:ilvl w:val="0"/>
          <w:numId w:val="3"/>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implementation challenges, including federal-state coordination, infrastructure and compliance readiness, and dispute resolution concerns.</w:t>
      </w:r>
    </w:p>
    <w:p w14:paraId="6F9309A7">
      <w:pPr>
        <w:pStyle w:val="3"/>
      </w:pPr>
      <w:bookmarkStart w:id="16" w:name="_Toc233686185"/>
      <w:r>
        <w:t xml:space="preserve">1.8 </w:t>
      </w:r>
      <w:r>
        <w:tab/>
      </w:r>
      <w:r>
        <w:t>Limitation of the Study</w:t>
      </w:r>
      <w:bookmarkEnd w:id="16"/>
    </w:p>
    <w:p w14:paraId="0786BBDB">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bCs/>
          <w:sz w:val="24"/>
          <w:szCs w:val="24"/>
        </w:rPr>
        <w:t xml:space="preserve">This study has notable limitations and thus its findings should be interpreted in the light of the following limitations. </w:t>
      </w:r>
      <w:r>
        <w:rPr>
          <w:rFonts w:ascii="Times New Roman" w:hAnsi="Times New Roman" w:eastAsia="Times New Roman" w:cs="Times New Roman"/>
          <w:sz w:val="24"/>
          <w:szCs w:val="24"/>
          <w:lang w:val="en-US"/>
        </w:rPr>
        <w:t>Firstly, some aspects of the tax reforms under the Ahmed Tinubu administration are still at the implementation stage. Indeed, legislation for tax reform have been enacted. However, their full effect cannot yet be assessed completely because implementation is gradual and some provisions have generated political and public debate. Therefore, this research examines the legal framework based on the available laws, policy statements and professional commentaries.  Secondly, this study adopts a doctrinal research method. This means that the research is based mainly on statutes, cases, policy documents, journal articles, textbooks, reports and other secondary materials. It does not involve interviews, questionnaires or fieldwork with taxpayers, businesses, tax officials or government agencies. As a result, the study cannot measure the actual experiences of taxpayers or revenue authorities under the new reforms. Therefore, any discussion of economic, social or administrative impact is based on existing published materials. Thirdly, the interpretation of the 2025 tax reform laws is still developing. Since the laws are new, there are limited judicial decisions which interpret their provisions. Consequently, some conclusions in this study may be affected by future court decisions, official regulations, administrative guidelines or amendments to the laws. For this reason, the findings of this study are the legal assessment of the reforms based on the materials available at the time of writing.</w:t>
      </w:r>
    </w:p>
    <w:p w14:paraId="3E1A1B3F">
      <w:pPr>
        <w:pStyle w:val="3"/>
      </w:pPr>
      <w:bookmarkStart w:id="17" w:name="_Toc233686186"/>
      <w:r>
        <w:t xml:space="preserve">1.9 </w:t>
      </w:r>
      <w:r>
        <w:tab/>
      </w:r>
      <w:r>
        <w:t>Literature Review</w:t>
      </w:r>
      <w:bookmarkEnd w:id="17"/>
      <w:r>
        <w:t xml:space="preserve"> </w:t>
      </w:r>
    </w:p>
    <w:p w14:paraId="1273A12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Under this section, relevant literatures are reviewed. </w:t>
      </w:r>
      <w:r>
        <w:rPr>
          <w:rFonts w:ascii="Times New Roman" w:hAnsi="Times New Roman" w:eastAsia="Times New Roman" w:cs="Times New Roman"/>
          <w:sz w:val="24"/>
          <w:szCs w:val="24"/>
        </w:rPr>
        <w:t xml:space="preserve">The review is organised thematically. In the end, this review identifies the gap in knowledge and then justifies the present research. </w:t>
      </w:r>
    </w:p>
    <w:p w14:paraId="6D63A383">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Theme 1: Fiscal Federalism and Constitutional Contestation</w:t>
      </w:r>
    </w:p>
    <w:p w14:paraId="04B15A2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Ishiguzo</w:t>
      </w:r>
      <w:r>
        <w:rPr>
          <w:rStyle w:val="16"/>
          <w:rFonts w:ascii="Times New Roman" w:hAnsi="Times New Roman" w:eastAsia="Times New Roman" w:cs="Times New Roman"/>
          <w:bCs/>
          <w:sz w:val="24"/>
          <w:szCs w:val="24"/>
        </w:rPr>
        <w:footnoteReference w:id="13"/>
      </w:r>
      <w:r>
        <w:rPr>
          <w:rFonts w:ascii="Times New Roman" w:hAnsi="Times New Roman" w:eastAsia="Times New Roman" w:cs="Times New Roman"/>
          <w:bCs/>
          <w:sz w:val="24"/>
          <w:szCs w:val="24"/>
        </w:rPr>
        <w:t xml:space="preserve"> </w:t>
      </w:r>
      <w:r>
        <w:rPr>
          <w:rFonts w:ascii="Times New Roman" w:hAnsi="Times New Roman" w:eastAsia="Times New Roman" w:cs="Times New Roman"/>
          <w:sz w:val="24"/>
          <w:szCs w:val="24"/>
        </w:rPr>
        <w:t xml:space="preserve">analysed the emerging tax reform bills and how they intend to restructure the tax system in Nigeria and this includes the fiscal federal issues implicated by the reforms. The study argued that the reform bills were designed to translate committee recommendations into an implementable framework. They also highlighted that multiplicity of taxes and unclear inter-governmental roles impede efficiency and compliance. </w:t>
      </w:r>
      <w:r>
        <w:rPr>
          <w:rFonts w:ascii="Times New Roman" w:hAnsi="Times New Roman" w:eastAsia="Times New Roman" w:cs="Times New Roman"/>
          <w:bCs/>
          <w:sz w:val="24"/>
          <w:szCs w:val="24"/>
        </w:rPr>
        <w:t>This study is descriptive and reform-supportive</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However, it has notable limitations. </w:t>
      </w:r>
      <w:r>
        <w:rPr>
          <w:rFonts w:ascii="Times New Roman" w:hAnsi="Times New Roman" w:eastAsia="Times New Roman" w:cs="Times New Roman"/>
          <w:sz w:val="24"/>
          <w:szCs w:val="24"/>
        </w:rPr>
        <w:t>It does not engage with countervailing constitutional risk (How courts may constrain reform ambition where it undermines federal balance or due process). The gap in this study is that it describes the bills for the reforms and their relevance economically. It does not examine its implementation would be affected by the limits in the constitution, fiscal federalism as well as judicial control. This project fills that gap by assessing the tax reforms through a doctrinal lens, by considering whether the reforms are consistent with the principles in the constitution and decided cases on taxation.</w:t>
      </w:r>
    </w:p>
    <w:p w14:paraId="2024DED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Offor</w:t>
      </w:r>
      <w:r>
        <w:rPr>
          <w:rStyle w:val="16"/>
          <w:rFonts w:ascii="Times New Roman" w:hAnsi="Times New Roman" w:eastAsia="Times New Roman" w:cs="Times New Roman"/>
          <w:sz w:val="24"/>
          <w:szCs w:val="24"/>
        </w:rPr>
        <w:footnoteReference w:id="14"/>
      </w:r>
      <w:r>
        <w:rPr>
          <w:rFonts w:ascii="Times New Roman" w:hAnsi="Times New Roman" w:eastAsia="Times New Roman" w:cs="Times New Roman"/>
          <w:sz w:val="24"/>
          <w:szCs w:val="24"/>
        </w:rPr>
        <w:t xml:space="preserve"> evaluated the legal reforms and their strategic implications for businesses and compliance and they also positioned the reforms within international best practices. They suggested that reforms may enhance revenue and ease of doing business. However, they warn that the reforms are complex legally and operationally and this may require recalibration across business. A limitation of this study is that it frames the policy with international “best practice” and this may underplay the reality of federal and political economy in Nigeria. </w:t>
      </w:r>
      <w:r>
        <w:rPr>
          <w:rFonts w:ascii="Times New Roman" w:hAnsi="Times New Roman" w:eastAsia="Times New Roman" w:cs="Times New Roman"/>
          <w:bCs/>
          <w:sz w:val="24"/>
          <w:szCs w:val="24"/>
        </w:rPr>
        <w:t>A reform may be elegant on paper yet unstable in practice</w:t>
      </w:r>
      <w:r>
        <w:rPr>
          <w:rFonts w:ascii="Times New Roman" w:hAnsi="Times New Roman" w:eastAsia="Times New Roman" w:cs="Times New Roman"/>
          <w:sz w:val="24"/>
          <w:szCs w:val="24"/>
        </w:rPr>
        <w:t xml:space="preserve"> if the distributive consequences trigger subnational resistance or litigation.</w:t>
      </w:r>
      <w:r>
        <w:rPr>
          <w:rStyle w:val="16"/>
          <w:rFonts w:ascii="Times New Roman" w:hAnsi="Times New Roman" w:eastAsia="Times New Roman" w:cs="Times New Roman"/>
          <w:sz w:val="24"/>
          <w:szCs w:val="24"/>
        </w:rPr>
        <w:footnoteReference w:id="15"/>
      </w:r>
      <w:r>
        <w:rPr>
          <w:rFonts w:ascii="Times New Roman" w:hAnsi="Times New Roman" w:eastAsia="Times New Roman" w:cs="Times New Roman"/>
          <w:sz w:val="24"/>
          <w:szCs w:val="24"/>
        </w:rPr>
        <w:t xml:space="preserve">  The gap in this study is that it focuses on the implications of the reforms for businesses and international best practices. However, it but does not address the federal structure and political economy in Nigeria. This project fills that gap by examining how the reforms may operate within multi-level tax system in Nigeria, especially where the powers of the federal, state and local revenue overlap.</w:t>
      </w:r>
    </w:p>
    <w:p w14:paraId="494F2BA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Godwin and Lilly-Inia</w:t>
      </w:r>
      <w:r>
        <w:rPr>
          <w:rStyle w:val="16"/>
          <w:rFonts w:ascii="Times New Roman" w:hAnsi="Times New Roman" w:eastAsia="Times New Roman" w:cs="Times New Roman"/>
          <w:bCs/>
          <w:sz w:val="24"/>
          <w:szCs w:val="24"/>
        </w:rPr>
        <w:footnoteReference w:id="16"/>
      </w:r>
      <w:r>
        <w:rPr>
          <w:rFonts w:ascii="Times New Roman" w:hAnsi="Times New Roman" w:eastAsia="Times New Roman" w:cs="Times New Roman"/>
          <w:bCs/>
          <w:sz w:val="24"/>
          <w:szCs w:val="24"/>
        </w:rPr>
        <w:t xml:space="preserve"> </w:t>
      </w:r>
      <w:r>
        <w:rPr>
          <w:rFonts w:ascii="Times New Roman" w:hAnsi="Times New Roman" w:eastAsia="Times New Roman" w:cs="Times New Roman"/>
          <w:sz w:val="24"/>
          <w:szCs w:val="24"/>
        </w:rPr>
        <w:t xml:space="preserve">examined the significance of the tax reform bills for public service accountability, and fiscal outcomes. </w:t>
      </w:r>
      <w:r>
        <w:rPr>
          <w:rFonts w:ascii="Times New Roman" w:hAnsi="Times New Roman" w:eastAsia="Times New Roman" w:cs="Times New Roman"/>
          <w:bCs/>
          <w:sz w:val="24"/>
          <w:szCs w:val="24"/>
        </w:rPr>
        <w:t xml:space="preserve">They linked </w:t>
      </w:r>
      <w:r>
        <w:rPr>
          <w:rFonts w:ascii="Times New Roman" w:hAnsi="Times New Roman" w:eastAsia="Times New Roman" w:cs="Times New Roman"/>
          <w:sz w:val="24"/>
          <w:szCs w:val="24"/>
        </w:rPr>
        <w:t xml:space="preserve">the reforms to administrative efficiency and improved fiscal capacity. They argued that they are necessary responses to inadequate legacy frameworks. This study has notable limitation and it is methodological and conceptual. Firstly, it generalises “efficiency” without a detailed legal analysis of safeguards. In tax administration, when there is </w:t>
      </w:r>
      <w:r>
        <w:rPr>
          <w:rFonts w:ascii="Times New Roman" w:hAnsi="Times New Roman" w:eastAsia="Times New Roman" w:cs="Times New Roman"/>
          <w:bCs/>
          <w:sz w:val="24"/>
          <w:szCs w:val="24"/>
        </w:rPr>
        <w:t>power without process,</w:t>
      </w:r>
      <w:r>
        <w:rPr>
          <w:rFonts w:ascii="Times New Roman" w:hAnsi="Times New Roman" w:eastAsia="Times New Roman" w:cs="Times New Roman"/>
          <w:sz w:val="24"/>
          <w:szCs w:val="24"/>
        </w:rPr>
        <w:t xml:space="preserve"> legitimacy is degraded. Courts insist that fiscal powers must be exercised legally; otherwise, enforcement becomes vulnerable to judicial review. The gap in this study is that it links the reform bills to accountability in public service and fiscal efficiency. However, it does not provide analyse the safeguards for  taxpayer, due process and limits on administrative power. This project fills the gap by assessing whether the reforms create a balance between mobilising revenue and the protecting taxpayers from arbitrary enforcement.</w:t>
      </w:r>
    </w:p>
    <w:p w14:paraId="22889305">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Theme 2: Tax Harmonisation and Institutional Reform</w:t>
      </w:r>
    </w:p>
    <w:p w14:paraId="326D5F7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Ewim and others</w:t>
      </w:r>
      <w:r>
        <w:rPr>
          <w:rStyle w:val="16"/>
          <w:rFonts w:ascii="Times New Roman" w:hAnsi="Times New Roman" w:eastAsia="Times New Roman" w:cs="Times New Roman"/>
          <w:sz w:val="24"/>
          <w:szCs w:val="24"/>
        </w:rPr>
        <w:footnoteReference w:id="17"/>
      </w:r>
      <w:r>
        <w:rPr>
          <w:rFonts w:ascii="Times New Roman" w:hAnsi="Times New Roman" w:eastAsia="Times New Roman" w:cs="Times New Roman"/>
          <w:sz w:val="24"/>
          <w:szCs w:val="24"/>
        </w:rPr>
        <w:t xml:space="preserve"> examined how the Joint Tax Board (JTB) may coordinate subnational tax administration and improve uniformity (especially around personal income tax administration). They found that the biggest operational weakness in Nigeria at subnational level is not merely “low compliance,” but disjointed administration. They concluded that JTB is a central “standard-setter.” It encourages convergence in taxation and it also leaves states their constitutional space to collect and benefit from key taxes. This study has notable limitations. It is normative and conceptual as it proposes regulatory model more than testing one. It does not quantify how much harmonisation reduces the cost of compliance or cuts disputes. Secondly, it underplays the political economy of fiscal federalism. This is because states may resist harmonisation if they interpret it as federal overreach or if they assume that it reduces informal discretion that generates revenue or rents.  The gap in this study is that it proposes the Joint Tax Board as a regulatory model for harmonisation. However, it does not examine the constitutional and political resistance that may arise from state governments. This project fills the gap by analysing whether harmonisation under the reforms reduce multiple taxation without undermining the fiscal autonomy of states.</w:t>
      </w:r>
    </w:p>
    <w:p w14:paraId="7590BEB0">
      <w:pPr>
        <w:spacing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Umenweke</w:t>
      </w:r>
      <w:r>
        <w:rPr>
          <w:rStyle w:val="16"/>
          <w:rFonts w:ascii="Times New Roman" w:hAnsi="Times New Roman" w:eastAsia="Times New Roman" w:cs="Times New Roman"/>
          <w:bCs/>
          <w:sz w:val="24"/>
          <w:szCs w:val="24"/>
        </w:rPr>
        <w:footnoteReference w:id="18"/>
      </w:r>
      <w:r>
        <w:rPr>
          <w:rFonts w:ascii="Times New Roman" w:hAnsi="Times New Roman" w:eastAsia="Times New Roman" w:cs="Times New Roman"/>
          <w:bCs/>
          <w:sz w:val="24"/>
          <w:szCs w:val="24"/>
        </w:rPr>
        <w:t xml:space="preserve"> evaluated the Joint Revenue Board Bill as an instrument meant to harmonise and coordinate revenue administration and reduce disputes by creating/strengthening central coordinating institutions (Joint Revenue Board, Tax Appeal Tribunal, and a Tax Ombud mechanism).  They found that the tax system in Nigeria suffers from administrative fragmentation and they argued that the proposed institution would improve coordination and transparency. They suggest that there is need to formalise a stronger coordination body (and creating a taxpayer-facing ombuds function) because it would reduce arbitrary administrative behaviour and strengthen compliance. At the same time, Umenweke</w:t>
      </w:r>
      <w:r>
        <w:rPr>
          <w:rStyle w:val="16"/>
          <w:rFonts w:ascii="Times New Roman" w:hAnsi="Times New Roman" w:eastAsia="Times New Roman" w:cs="Times New Roman"/>
          <w:bCs/>
          <w:sz w:val="24"/>
          <w:szCs w:val="24"/>
        </w:rPr>
        <w:footnoteReference w:id="19"/>
      </w:r>
      <w:r>
        <w:rPr>
          <w:rFonts w:ascii="Times New Roman" w:hAnsi="Times New Roman" w:eastAsia="Times New Roman" w:cs="Times New Roman"/>
          <w:bCs/>
          <w:sz w:val="24"/>
          <w:szCs w:val="24"/>
        </w:rPr>
        <w:t xml:space="preserve"> noted that reforms requires institutional capacity and stakeholder buy-in to be successful. This study has notable limitations. Even though it is labelled “critical,” its critique is still institutional-optimistic. It assumes that new bodies will improve compliance automatically. But in Nigeria, institutional proliferation increases forum competition. Lastly, the study would be stronger if it anchored its claims in measurable indicators. The gap in this study is that it is assumes that the creation of bodies such as the Joint Revenue Board, Tax Appeal Tribunal and Tax Ombud will improve tax administration automatically. This project fills the gap as it critically examines whether these institutions have sufficient power, independence and capacity to address complaints of the taxpayer and abuse of administrative power.</w:t>
      </w:r>
    </w:p>
    <w:p w14:paraId="09FE5998">
      <w:pPr>
        <w:spacing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Abbo</w:t>
      </w:r>
      <w:r>
        <w:rPr>
          <w:rStyle w:val="16"/>
          <w:rFonts w:ascii="Times New Roman" w:hAnsi="Times New Roman" w:eastAsia="Times New Roman" w:cs="Times New Roman"/>
          <w:bCs/>
          <w:sz w:val="24"/>
          <w:szCs w:val="24"/>
        </w:rPr>
        <w:footnoteReference w:id="20"/>
      </w:r>
      <w:r>
        <w:rPr>
          <w:rFonts w:ascii="Times New Roman" w:hAnsi="Times New Roman" w:eastAsia="Times New Roman" w:cs="Times New Roman"/>
          <w:bCs/>
          <w:sz w:val="24"/>
          <w:szCs w:val="24"/>
        </w:rPr>
        <w:t xml:space="preserve"> evaluated the tax reform through the lens of New Public Management (NPM). They assessed whether the design of the reform improves efficiency and accountability. They found that the reform is promising in advancing efficiency. They also noted that there are key implementation dependencies. These include taxpayer education, simplification of processes as well as administrative streamlining. Importantly, they argued that the reform is a push toward clearer rules and coordinated administration. This would support a healthier “ecosystem” for investment and productivity. This study has notable limitations. First is its methodological limitations. Content analysis of the reform cannot, by itself, confirm outcomes in reality (especially in Nigeria where “law in books” often diverges from “law in action”). The paper is too optimistic and this might overstate the effects of the reforms without sufficient data. Lastly, the paper would be stronger if it incorporated counter-evidence. The gap in this study is that it evaluates the reforms through New Public Management and content analysis but it does not test the reforms against challenges in implementation and the reality in Nigeria where law in books often differs from law in action. This project fills the gap because it examines the design of the reforms and the obstacles to implementation, including taxpayer education, capacity of institutions and readiness to comply.</w:t>
      </w:r>
    </w:p>
    <w:p w14:paraId="2C8ED224">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Theme 3: The digitisation of Tax Administration </w:t>
      </w:r>
    </w:p>
    <w:p w14:paraId="71DA098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Awodun and others</w:t>
      </w:r>
      <w:r>
        <w:rPr>
          <w:rStyle w:val="16"/>
          <w:rFonts w:ascii="Times New Roman" w:hAnsi="Times New Roman" w:eastAsia="Times New Roman" w:cs="Times New Roman"/>
          <w:sz w:val="24"/>
          <w:szCs w:val="24"/>
        </w:rPr>
        <w:footnoteReference w:id="21"/>
      </w:r>
      <w:r>
        <w:rPr>
          <w:rFonts w:ascii="Times New Roman" w:hAnsi="Times New Roman" w:eastAsia="Times New Roman" w:cs="Times New Roman"/>
          <w:sz w:val="24"/>
          <w:szCs w:val="24"/>
        </w:rPr>
        <w:t xml:space="preserve"> assessed how digital technology modernise tax administration and also improve performance. </w:t>
      </w:r>
      <w:r>
        <w:rPr>
          <w:rFonts w:ascii="Times New Roman" w:hAnsi="Times New Roman" w:eastAsia="Times New Roman" w:cs="Times New Roman"/>
          <w:bCs/>
          <w:sz w:val="24"/>
          <w:szCs w:val="24"/>
        </w:rPr>
        <w:t xml:space="preserve">They found </w:t>
      </w:r>
      <w:r>
        <w:rPr>
          <w:rFonts w:ascii="Times New Roman" w:hAnsi="Times New Roman" w:eastAsia="Times New Roman" w:cs="Times New Roman"/>
          <w:sz w:val="24"/>
          <w:szCs w:val="24"/>
        </w:rPr>
        <w:t xml:space="preserve">that digitisation improves administrative capacity. A limitation of this study is that it assumes that digitisation is beneficial without addressing </w:t>
      </w:r>
      <w:r>
        <w:rPr>
          <w:rFonts w:ascii="Times New Roman" w:hAnsi="Times New Roman" w:eastAsia="Times New Roman" w:cs="Times New Roman"/>
          <w:bCs/>
          <w:sz w:val="24"/>
          <w:szCs w:val="24"/>
        </w:rPr>
        <w:t>data integrity, cybersecurity, taxpayer rights</w:t>
      </w:r>
      <w:r>
        <w:rPr>
          <w:rFonts w:ascii="Times New Roman" w:hAnsi="Times New Roman" w:eastAsia="Times New Roman" w:cs="Times New Roman"/>
          <w:sz w:val="24"/>
          <w:szCs w:val="24"/>
        </w:rPr>
        <w:t>, and the risk of excluding informal actors who lack digital readiness. The gap in this study is that it presents digital transformation as a solution to tax administration problems but it does considers the risks such as cybersecurity, data protection, taxpayer rights and digital exclusion. This project fills the gap as it assess digitisation under the Tinubu reforms not only as an administrative tool, but also as a legal issue which affect fairness, access and accountability.</w:t>
      </w:r>
    </w:p>
    <w:p w14:paraId="1AAD3C1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the same light, Kareem and Olaoye</w:t>
      </w:r>
      <w:r>
        <w:rPr>
          <w:rStyle w:val="16"/>
          <w:rFonts w:ascii="Times New Roman" w:hAnsi="Times New Roman" w:eastAsia="Times New Roman" w:cs="Times New Roman"/>
          <w:sz w:val="24"/>
          <w:szCs w:val="24"/>
        </w:rPr>
        <w:footnoteReference w:id="22"/>
      </w:r>
      <w:r>
        <w:rPr>
          <w:rFonts w:ascii="Times New Roman" w:hAnsi="Times New Roman" w:eastAsia="Times New Roman" w:cs="Times New Roman"/>
          <w:sz w:val="24"/>
          <w:szCs w:val="24"/>
        </w:rPr>
        <w:t xml:space="preserve"> examined the link between tax digitalisation and revenue performance (state-level context). </w:t>
      </w:r>
      <w:r>
        <w:rPr>
          <w:rFonts w:ascii="Times New Roman" w:hAnsi="Times New Roman" w:eastAsia="Times New Roman" w:cs="Times New Roman"/>
          <w:bCs/>
          <w:sz w:val="24"/>
          <w:szCs w:val="24"/>
        </w:rPr>
        <w:t>They found that there are associations</w:t>
      </w:r>
      <w:r>
        <w:rPr>
          <w:rFonts w:ascii="Times New Roman" w:hAnsi="Times New Roman" w:eastAsia="Times New Roman" w:cs="Times New Roman"/>
          <w:sz w:val="24"/>
          <w:szCs w:val="24"/>
        </w:rPr>
        <w:t xml:space="preserve"> between digitalisation initiatives and improved revenue outcomes (within its study context). This study has notable limitations. It may not be generalised nationally because the outcomes of digitisation depend on sector structure and enforcement capacity. Also, revenue is not sufficient. Legality and fairness must accompany enforcement.</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The gap in this study is that it focuses on the relationship between tax digitalisation and revenue performance in state-level context. This may not be generalised to the national tax system. This project fills the gap because it examines digitisation within the broader Tinubu tax reform framework and it also assesss whether it would work across federal, state and local tax structures in Nigeria which is diverse. </w:t>
      </w:r>
    </w:p>
    <w:p w14:paraId="458AA15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Tandu</w:t>
      </w:r>
      <w:r>
        <w:rPr>
          <w:rStyle w:val="16"/>
          <w:rFonts w:ascii="Times New Roman" w:hAnsi="Times New Roman" w:eastAsia="Times New Roman" w:cs="Times New Roman"/>
          <w:sz w:val="24"/>
          <w:szCs w:val="24"/>
        </w:rPr>
        <w:footnoteReference w:id="23"/>
      </w:r>
      <w:r>
        <w:rPr>
          <w:rFonts w:ascii="Times New Roman" w:hAnsi="Times New Roman" w:eastAsia="Times New Roman" w:cs="Times New Roman"/>
          <w:sz w:val="24"/>
          <w:szCs w:val="24"/>
        </w:rPr>
        <w:t xml:space="preserve"> analyse the implications of e-invoicing within the broader digital economy policy in Nigeria. The study suggests that e-invoicing strengthens compliance and it also aligns Nigeria with continental/international trends. This study has notable limitations. It did not engage with the challenges to implementation directly. More so, official rollouts show phased onboarding and deadline extensions. This indicates that readiness is constraints and it is central, not peripheral. The gap in this study is that it discusses the implications of e-invoicing but it does not address the readiness of taxpayers, especially SMEs, to comply with phased digital reporting obligations. This project fills the gap because it examines e-invoicing as part of the challenges in implementation of the Tinubu tax reforms, in relation to infrastructure, the cost of compliance and administrative capacity.</w:t>
      </w:r>
    </w:p>
    <w:p w14:paraId="45F63248">
      <w:pPr>
        <w:spacing w:line="480" w:lineRule="auto"/>
        <w:jc w:val="both"/>
        <w:rPr>
          <w:rFonts w:ascii="Times New Roman" w:hAnsi="Times New Roman" w:eastAsia="Times New Roman" w:cs="Times New Roman"/>
          <w:sz w:val="24"/>
          <w:szCs w:val="24"/>
        </w:rPr>
      </w:pPr>
    </w:p>
    <w:p w14:paraId="0FA04415">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Theme 4: Tax Burden on SMEs/Inform sector</w:t>
      </w:r>
    </w:p>
    <w:p w14:paraId="7E659C2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Oloyede and others</w:t>
      </w:r>
      <w:r>
        <w:rPr>
          <w:rStyle w:val="16"/>
          <w:rFonts w:ascii="Times New Roman" w:hAnsi="Times New Roman" w:eastAsia="Times New Roman" w:cs="Times New Roman"/>
          <w:bCs/>
          <w:sz w:val="24"/>
          <w:szCs w:val="24"/>
        </w:rPr>
        <w:footnoteReference w:id="24"/>
      </w:r>
      <w:r>
        <w:rPr>
          <w:rFonts w:ascii="Times New Roman" w:hAnsi="Times New Roman" w:eastAsia="Times New Roman" w:cs="Times New Roman"/>
          <w:bCs/>
          <w:sz w:val="24"/>
          <w:szCs w:val="24"/>
        </w:rPr>
        <w:t xml:space="preserve"> tested </w:t>
      </w:r>
      <w:r>
        <w:rPr>
          <w:rFonts w:ascii="Times New Roman" w:hAnsi="Times New Roman" w:eastAsia="Times New Roman" w:cs="Times New Roman"/>
          <w:sz w:val="24"/>
          <w:szCs w:val="24"/>
        </w:rPr>
        <w:t xml:space="preserve">how tax policy, multiple taxation, incentives, and tax administration affect SME performance in Nigeria. </w:t>
      </w:r>
      <w:r>
        <w:rPr>
          <w:rFonts w:ascii="Times New Roman" w:hAnsi="Times New Roman" w:eastAsia="Times New Roman" w:cs="Times New Roman"/>
          <w:bCs/>
          <w:sz w:val="24"/>
          <w:szCs w:val="24"/>
        </w:rPr>
        <w:t xml:space="preserve">They found </w:t>
      </w:r>
      <w:r>
        <w:rPr>
          <w:rFonts w:ascii="Times New Roman" w:hAnsi="Times New Roman" w:eastAsia="Times New Roman" w:cs="Times New Roman"/>
          <w:sz w:val="24"/>
          <w:szCs w:val="24"/>
        </w:rPr>
        <w:t xml:space="preserve">that tax policy and multiple taxation affect SME productivity and efficiency; incentives improves performance; administration variables may not always correlate with profitability. </w:t>
      </w:r>
      <w:r>
        <w:rPr>
          <w:rFonts w:ascii="Times New Roman" w:hAnsi="Times New Roman" w:eastAsia="Times New Roman" w:cs="Times New Roman"/>
          <w:bCs/>
          <w:sz w:val="24"/>
          <w:szCs w:val="24"/>
        </w:rPr>
        <w:t xml:space="preserve">This study has notable limitations.  It did not </w:t>
      </w:r>
      <w:r>
        <w:rPr>
          <w:rFonts w:ascii="Times New Roman" w:hAnsi="Times New Roman" w:eastAsia="Times New Roman" w:cs="Times New Roman"/>
          <w:sz w:val="24"/>
          <w:szCs w:val="24"/>
        </w:rPr>
        <w:t>isolate “tax effect” from macroeconomic instability. Nigeria’s inflation and FX volatility may swamp tax policy variables, and the study may under-control for these confounders. The gap in this study is that it examines the effect of taxation on the performance of SME but it does not separate tax-related burdens from wider macroeconomic pressures such as inflation, exchange rate instability and business insecurity. This project fills the gap because it assesses the impact of the Tinubu tax reforms on SMEs within the broader economic hardship facing businesses in Nigeria.</w:t>
      </w:r>
    </w:p>
    <w:p w14:paraId="0A9C605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Ehichioya and Attah</w:t>
      </w:r>
      <w:r>
        <w:rPr>
          <w:rStyle w:val="16"/>
          <w:rFonts w:ascii="Times New Roman" w:hAnsi="Times New Roman" w:eastAsia="Times New Roman" w:cs="Times New Roman"/>
          <w:sz w:val="24"/>
          <w:szCs w:val="24"/>
        </w:rPr>
        <w:footnoteReference w:id="25"/>
      </w:r>
      <w:r>
        <w:rPr>
          <w:rFonts w:ascii="Times New Roman" w:hAnsi="Times New Roman" w:eastAsia="Times New Roman" w:cs="Times New Roman"/>
          <w:sz w:val="24"/>
          <w:szCs w:val="24"/>
        </w:rPr>
        <w:t xml:space="preserve"> examined how multiple taxation affects SME survival/performance using survey/regression methods. </w:t>
      </w:r>
      <w:r>
        <w:rPr>
          <w:rFonts w:ascii="Times New Roman" w:hAnsi="Times New Roman" w:eastAsia="Times New Roman" w:cs="Times New Roman"/>
          <w:bCs/>
          <w:sz w:val="24"/>
          <w:szCs w:val="24"/>
        </w:rPr>
        <w:t>They found that m</w:t>
      </w:r>
      <w:r>
        <w:rPr>
          <w:rFonts w:ascii="Times New Roman" w:hAnsi="Times New Roman" w:eastAsia="Times New Roman" w:cs="Times New Roman"/>
          <w:sz w:val="24"/>
          <w:szCs w:val="24"/>
        </w:rPr>
        <w:t xml:space="preserve">ultiple taxation impacts the survival of SME negatively. They recommended that tax should be harmonised across tiers of government. This study has notable limitations. It is a survey studies and it often suffer from response bias. “Tax burden” is also reported subjectively. In addition, the recommendations may be too broad without mapping the exact legal sources of overlapping levies and the responsible of enforcement agencies. The gap in this study is that it identified that multiple taxation is harmful to SMEs but it does not trace the legal sources of overlapping taxes and the revenue authorities responsible for enforcing them. This project fills the gap because it examines the legal and institutional framework of the tax reforms under Tinubu’s regime to determine whether they reduce multiple taxation and improve coordination among authorities for revenue in Nigeria. </w:t>
      </w:r>
    </w:p>
    <w:p w14:paraId="5912E23C">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Synthesis and Identified Gap in Knowledge</w:t>
      </w:r>
    </w:p>
    <w:p w14:paraId="50EC5133">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The reviewed literature establishes that Tinubu-era tax reforms are framed around </w:t>
      </w:r>
      <w:r>
        <w:rPr>
          <w:rFonts w:ascii="Times New Roman" w:hAnsi="Times New Roman" w:eastAsia="Times New Roman" w:cs="Times New Roman"/>
          <w:bCs/>
          <w:sz w:val="24"/>
          <w:szCs w:val="24"/>
        </w:rPr>
        <w:t>harmonisation, institutional restructuring, and digitisation</w:t>
      </w:r>
      <w:r>
        <w:rPr>
          <w:rFonts w:ascii="Times New Roman" w:hAnsi="Times New Roman" w:eastAsia="Times New Roman" w:cs="Times New Roman"/>
          <w:sz w:val="24"/>
          <w:szCs w:val="24"/>
        </w:rPr>
        <w:t xml:space="preserve">. In addition, there are anticipated gains in revenue mobilisation and ease of doing business. However, there are notable gaps. Many recent studies describe reforms and predict benefits. However, they do not integrate Nigeria’s binding case law (for example, </w:t>
      </w:r>
      <w:r>
        <w:rPr>
          <w:rFonts w:ascii="Times New Roman" w:hAnsi="Times New Roman" w:eastAsia="Times New Roman" w:cs="Times New Roman"/>
          <w:i/>
          <w:iCs/>
          <w:sz w:val="24"/>
          <w:szCs w:val="24"/>
        </w:rPr>
        <w:t>covering the field</w:t>
      </w:r>
      <w:r>
        <w:rPr>
          <w:rFonts w:ascii="Times New Roman" w:hAnsi="Times New Roman" w:eastAsia="Times New Roman" w:cs="Times New Roman"/>
          <w:sz w:val="24"/>
          <w:szCs w:val="24"/>
        </w:rPr>
        <w:t xml:space="preserve">, limits on state taxation competence, and judicial control of administrative powers) in evaluating the feasibility and legality of the reforms. Secondly, existing analyses did not explain how reforms will operate within the multi-tier tax ecosystem in Nigeria where states and local governments impose levies as this sometimes produces multiple taxation pressures and enforcement rivalry. </w:t>
      </w:r>
      <w:r>
        <w:rPr>
          <w:rFonts w:ascii="Times New Roman" w:hAnsi="Times New Roman" w:eastAsia="Times New Roman" w:cs="Times New Roman"/>
          <w:bCs/>
          <w:sz w:val="24"/>
          <w:szCs w:val="24"/>
        </w:rPr>
        <w:t xml:space="preserve">Thirdly </w:t>
      </w:r>
      <w:r>
        <w:rPr>
          <w:rFonts w:ascii="Times New Roman" w:hAnsi="Times New Roman" w:eastAsia="Times New Roman" w:cs="Times New Roman"/>
          <w:sz w:val="24"/>
          <w:szCs w:val="24"/>
        </w:rPr>
        <w:t xml:space="preserve">some sources address welfare concerns (for example., fuel surcharge and VAT politics).  However, they did not assess whether the reforms balance revenue ambition with fairness, ability-to-pay as well as legitimacy during economic hardship. </w:t>
      </w:r>
      <w:r>
        <w:rPr>
          <w:rFonts w:ascii="Times New Roman" w:hAnsi="Times New Roman" w:eastAsia="Times New Roman" w:cs="Times New Roman"/>
          <w:bCs/>
          <w:sz w:val="24"/>
          <w:szCs w:val="24"/>
        </w:rPr>
        <w:t>Therefore, this research is warranted</w:t>
      </w:r>
      <w:r>
        <w:rPr>
          <w:rFonts w:ascii="Times New Roman" w:hAnsi="Times New Roman" w:eastAsia="Times New Roman" w:cs="Times New Roman"/>
          <w:sz w:val="24"/>
          <w:szCs w:val="24"/>
        </w:rPr>
        <w:t xml:space="preserve"> because it will (i) identify the tax reforms under the Tinubu’s administration (ii) critically assess their impacts (revenue, compliance, investment climate, household equity); and (iii) evaluate implementation challenges through a doctrinal lens. </w:t>
      </w:r>
      <w:r>
        <w:rPr>
          <w:rFonts w:ascii="Times New Roman" w:hAnsi="Times New Roman" w:eastAsia="Times New Roman" w:cs="Times New Roman"/>
          <w:b/>
          <w:bCs/>
          <w:sz w:val="24"/>
          <w:szCs w:val="24"/>
        </w:rPr>
        <w:br w:type="page"/>
      </w:r>
    </w:p>
    <w:p w14:paraId="12A37349">
      <w:pPr>
        <w:pStyle w:val="2"/>
      </w:pPr>
      <w:bookmarkStart w:id="18" w:name="_Toc233686187"/>
      <w:r>
        <w:t>CHAPTER TWO</w:t>
      </w:r>
      <w:bookmarkEnd w:id="18"/>
    </w:p>
    <w:p w14:paraId="6D9CB807">
      <w:pPr>
        <w:pStyle w:val="2"/>
      </w:pPr>
      <w:bookmarkStart w:id="19" w:name="_Toc233686188"/>
      <w:r>
        <w:t>CONCEPTUAL AND THEORETICAL FRAMEWORK</w:t>
      </w:r>
      <w:bookmarkEnd w:id="19"/>
    </w:p>
    <w:p w14:paraId="78B403DE">
      <w:pPr>
        <w:pStyle w:val="3"/>
        <w:rPr>
          <w:kern w:val="36"/>
        </w:rPr>
      </w:pPr>
      <w:bookmarkStart w:id="20" w:name="_Toc233686189"/>
      <w:r>
        <w:rPr>
          <w:kern w:val="36"/>
        </w:rPr>
        <w:t xml:space="preserve">2.1 </w:t>
      </w:r>
      <w:r>
        <w:rPr>
          <w:kern w:val="36"/>
        </w:rPr>
        <w:tab/>
      </w:r>
      <w:r>
        <w:rPr>
          <w:kern w:val="36"/>
        </w:rPr>
        <w:t>Conceptual Framework</w:t>
      </w:r>
      <w:bookmarkEnd w:id="20"/>
    </w:p>
    <w:p w14:paraId="318C851C">
      <w:pPr>
        <w:spacing w:line="480" w:lineRule="auto"/>
        <w:jc w:val="both"/>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t xml:space="preserve">This section </w:t>
      </w:r>
      <w:r>
        <w:rPr>
          <w:rFonts w:ascii="Times New Roman" w:hAnsi="Times New Roman" w:eastAsia="Times New Roman" w:cs="Times New Roman"/>
          <w:sz w:val="24"/>
          <w:szCs w:val="24"/>
        </w:rPr>
        <w:t xml:space="preserve">defines the key concepts for taxation within the constitutional and statutory structure in Nigeria. </w:t>
      </w:r>
    </w:p>
    <w:p w14:paraId="3D16D729">
      <w:pPr>
        <w:pStyle w:val="4"/>
      </w:pPr>
      <w:bookmarkStart w:id="21" w:name="_Toc233686190"/>
      <w:r>
        <w:t xml:space="preserve">2.1.1 </w:t>
      </w:r>
      <w:r>
        <w:tab/>
      </w:r>
      <w:r>
        <w:t>Meaning of “Tax”</w:t>
      </w:r>
      <w:bookmarkEnd w:id="21"/>
    </w:p>
    <w:p w14:paraId="673BC1F6">
      <w:pPr>
        <w:spacing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 tax is a compulsory and legally enforceable monetary contribution, imposed under legislative authority by a competent public authority on persons, property, or transactions, primarily to raise public revenue for public purposes, without any direct quid-pro-quo benefit to the individual payer.</w:t>
      </w:r>
      <w:r>
        <w:rPr>
          <w:rStyle w:val="16"/>
          <w:rFonts w:ascii="Times New Roman" w:hAnsi="Times New Roman" w:eastAsia="Times New Roman" w:cs="Times New Roman"/>
          <w:bCs/>
          <w:sz w:val="24"/>
          <w:szCs w:val="24"/>
        </w:rPr>
        <w:footnoteReference w:id="26"/>
      </w:r>
      <w:r>
        <w:rPr>
          <w:rFonts w:ascii="Times New Roman" w:hAnsi="Times New Roman" w:eastAsia="Times New Roman" w:cs="Times New Roman"/>
          <w:bCs/>
          <w:sz w:val="24"/>
          <w:szCs w:val="24"/>
        </w:rPr>
        <w:t xml:space="preserve"> Similarly, ICAN notes that tax is a mandatory contribution imposed by a sovereign/government on income, profits, goods, services, spending or property of individuals and corporate entities, and it is collected to fund governmental functions (such as security, infrastructure, health and education) and it is sometimes used as a fiscal tool for managing the economy.</w:t>
      </w:r>
      <w:r>
        <w:rPr>
          <w:rStyle w:val="16"/>
          <w:rFonts w:ascii="Times New Roman" w:hAnsi="Times New Roman" w:eastAsia="Times New Roman" w:cs="Times New Roman"/>
          <w:bCs/>
          <w:sz w:val="24"/>
          <w:szCs w:val="24"/>
        </w:rPr>
        <w:footnoteReference w:id="27"/>
      </w:r>
      <w:r>
        <w:rPr>
          <w:rFonts w:ascii="Times New Roman" w:hAnsi="Times New Roman" w:eastAsia="Times New Roman" w:cs="Times New Roman"/>
          <w:bCs/>
          <w:sz w:val="24"/>
          <w:szCs w:val="24"/>
        </w:rPr>
        <w:t xml:space="preserve"> </w:t>
      </w:r>
    </w:p>
    <w:p w14:paraId="52CB5131">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According to the 1999 Constitution, “tax” is a compulsory payment mandated by law and paid to lawful government agencies as public revenue and it is backed by a constitutional duty on citizens to declare income and pay promptly.</w:t>
      </w:r>
      <w:r>
        <w:rPr>
          <w:rStyle w:val="16"/>
          <w:rFonts w:ascii="Times New Roman" w:hAnsi="Times New Roman" w:eastAsia="Times New Roman" w:cs="Times New Roman"/>
          <w:sz w:val="24"/>
          <w:szCs w:val="24"/>
        </w:rPr>
        <w:footnoteReference w:id="28"/>
      </w:r>
      <w:r>
        <w:rPr>
          <w:rFonts w:ascii="Times New Roman" w:hAnsi="Times New Roman" w:eastAsia="Times New Roman" w:cs="Times New Roman"/>
          <w:sz w:val="24"/>
          <w:szCs w:val="24"/>
        </w:rPr>
        <w:t xml:space="preserve"> Tax differs from other government charges. A regulatory “fee” may be justifiable when government provides a definable service (e.g., licensing, inspection). However, a “tax” is </w:t>
      </w:r>
      <w:r>
        <w:rPr>
          <w:rFonts w:ascii="Times New Roman" w:hAnsi="Times New Roman" w:eastAsia="Times New Roman" w:cs="Times New Roman"/>
          <w:bCs/>
          <w:sz w:val="24"/>
          <w:szCs w:val="24"/>
        </w:rPr>
        <w:t>not dependent</w:t>
      </w:r>
      <w:r>
        <w:rPr>
          <w:rFonts w:ascii="Times New Roman" w:hAnsi="Times New Roman" w:eastAsia="Times New Roman" w:cs="Times New Roman"/>
          <w:sz w:val="24"/>
          <w:szCs w:val="24"/>
        </w:rPr>
        <w:t xml:space="preserve"> on individual benefit. Its justification lies in financing collective goods. Thus, “tax” in Nigeria is never simply “what government demands;” it is what government is </w:t>
      </w:r>
      <w:r>
        <w:rPr>
          <w:rFonts w:ascii="Times New Roman" w:hAnsi="Times New Roman" w:eastAsia="Times New Roman" w:cs="Times New Roman"/>
          <w:bCs/>
          <w:sz w:val="24"/>
          <w:szCs w:val="24"/>
        </w:rPr>
        <w:t>empowered</w:t>
      </w:r>
      <w:r>
        <w:rPr>
          <w:rFonts w:ascii="Times New Roman" w:hAnsi="Times New Roman" w:eastAsia="Times New Roman" w:cs="Times New Roman"/>
          <w:sz w:val="24"/>
          <w:szCs w:val="24"/>
        </w:rPr>
        <w:t xml:space="preserve"> to demand lawfully. Section 24(f) provides that every citizen shall declare income honestly to appropriate and lawful agencies and pay his tax promptly. </w:t>
      </w:r>
    </w:p>
    <w:p w14:paraId="75DF98EB">
      <w:pPr>
        <w:pStyle w:val="4"/>
      </w:pPr>
      <w:bookmarkStart w:id="22" w:name="_Toc233686191"/>
      <w:r>
        <w:t xml:space="preserve">2.1.2 </w:t>
      </w:r>
      <w:r>
        <w:tab/>
      </w:r>
      <w:r>
        <w:t>Types of Tax in Nigeria</w:t>
      </w:r>
      <w:bookmarkEnd w:id="22"/>
    </w:p>
    <w:p w14:paraId="6278985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Nigeria’s taxes may be classified by (i) </w:t>
      </w:r>
      <w:r>
        <w:rPr>
          <w:rFonts w:ascii="Times New Roman" w:hAnsi="Times New Roman" w:eastAsia="Times New Roman" w:cs="Times New Roman"/>
          <w:bCs/>
          <w:sz w:val="24"/>
          <w:szCs w:val="24"/>
        </w:rPr>
        <w:t>base</w:t>
      </w:r>
      <w:r>
        <w:rPr>
          <w:rFonts w:ascii="Times New Roman" w:hAnsi="Times New Roman" w:eastAsia="Times New Roman" w:cs="Times New Roman"/>
          <w:sz w:val="24"/>
          <w:szCs w:val="24"/>
        </w:rPr>
        <w:t xml:space="preserve"> (income, consumption, property/transactions), (ii) </w:t>
      </w:r>
      <w:r>
        <w:rPr>
          <w:rFonts w:ascii="Times New Roman" w:hAnsi="Times New Roman" w:eastAsia="Times New Roman" w:cs="Times New Roman"/>
          <w:bCs/>
          <w:sz w:val="24"/>
          <w:szCs w:val="24"/>
        </w:rPr>
        <w:t>incidence</w:t>
      </w:r>
      <w:r>
        <w:rPr>
          <w:rFonts w:ascii="Times New Roman" w:hAnsi="Times New Roman" w:eastAsia="Times New Roman" w:cs="Times New Roman"/>
          <w:sz w:val="24"/>
          <w:szCs w:val="24"/>
        </w:rPr>
        <w:t xml:space="preserve"> (direct/indirect), and (iii) </w:t>
      </w:r>
      <w:r>
        <w:rPr>
          <w:rFonts w:ascii="Times New Roman" w:hAnsi="Times New Roman" w:eastAsia="Times New Roman" w:cs="Times New Roman"/>
          <w:bCs/>
          <w:sz w:val="24"/>
          <w:szCs w:val="24"/>
        </w:rPr>
        <w:t>level of government</w:t>
      </w:r>
      <w:r>
        <w:rPr>
          <w:rFonts w:ascii="Times New Roman" w:hAnsi="Times New Roman" w:eastAsia="Times New Roman" w:cs="Times New Roman"/>
          <w:sz w:val="24"/>
          <w:szCs w:val="24"/>
        </w:rPr>
        <w:t xml:space="preserve"> (federal/state/local). This multi-axis classification is important because it is assumed that Tinubu-era reforms consolidates laws and rationalise administration across tax bases.</w:t>
      </w:r>
    </w:p>
    <w:p w14:paraId="3CD83B69">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 Classification by tax base</w:t>
      </w:r>
    </w:p>
    <w:p w14:paraId="7BC4E948">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 Taxes on income and profits</w:t>
      </w:r>
    </w:p>
    <w:p w14:paraId="0013EE0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These are direct taxes charged on income of individuals and profits of companies. At the constitutional level, “taxation of incomes, profits and capital gains” sits within federal legislative competence on the Exclusive List. However, state institutions play major roles in personal income tax administration and this is consistent with fiscal architecture in Nigeria. </w:t>
      </w:r>
    </w:p>
    <w:p w14:paraId="6D4F3DC8">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(ii) Taxes on capital gains (and asset disposals)</w:t>
      </w:r>
    </w:p>
    <w:p w14:paraId="601ABFD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Capital gains taxation targets gains arising from disposals of chargeable assets. Even where policy debate shifts to modern assets (digital assets, financial instruments), the doctrinal core remains. The legislature defines (a) what is an asset, (b) what is a disposal, (c) how gains are computed, and (d) exemptions. </w:t>
      </w:r>
    </w:p>
    <w:p w14:paraId="5E9DCC63">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(iii) Consumption taxes</w:t>
      </w:r>
    </w:p>
    <w:p w14:paraId="5584C42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Consumption taxes are indirect. The business collects and remits; the consumer bears the economic burden through price. They are attractive for revenue because collections are embedded in transaction systems. However, they are controversial because they are regressive if they are not moderated by exemptions and targeted relief. This tax is complicated because of federal system in Nigeria. The legality of state-level consumption taxes has generated major litigation. In </w:t>
      </w:r>
      <w:r>
        <w:rPr>
          <w:rFonts w:ascii="Times New Roman" w:hAnsi="Times New Roman" w:eastAsia="Times New Roman" w:cs="Times New Roman"/>
          <w:bCs/>
          <w:sz w:val="24"/>
          <w:szCs w:val="24"/>
        </w:rPr>
        <w:t>Attorney-General of Lagos State v Eko Hotels Ltd and anors</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29"/>
      </w:r>
      <w:r>
        <w:rPr>
          <w:rFonts w:ascii="Times New Roman" w:hAnsi="Times New Roman" w:eastAsia="Times New Roman" w:cs="Times New Roman"/>
          <w:sz w:val="24"/>
          <w:szCs w:val="24"/>
        </w:rPr>
        <w:t xml:space="preserve"> the Supreme Court upheld the position that the VAT Act had “covered the field” regarding consumption taxation in hotels/restaurants/event centres such that duplicative state sales/consumption taxes on the same base were inoperative to the extent of inconsistency.  </w:t>
      </w:r>
    </w:p>
    <w:p w14:paraId="72BF4516">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(iv) Property and transaction taxes (including stamp duties)</w:t>
      </w:r>
    </w:p>
    <w:p w14:paraId="798158C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Transaction taxes such as stamp duties are significant constitutionally because stamp duties are assigned to the Exclusive Legislative List (Item 58). Modern administration uses transaction trails (banking, contracts, digital documents) to widen compliance: the more formalised the economy becomes, the more transaction taxes become administratively feasible. However, legality and proper incidence must still be satisfied.</w:t>
      </w:r>
    </w:p>
    <w:p w14:paraId="198F5820">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 Classification by incidence</w:t>
      </w:r>
    </w:p>
    <w:p w14:paraId="4E785611">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 Direct taxes</w:t>
      </w:r>
    </w:p>
    <w:p w14:paraId="4CE177C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Direct taxes fall on the person or entity upon whom they are imposed (income/profit taxes). Their fairness is often linked to the </w:t>
      </w:r>
      <w:r>
        <w:rPr>
          <w:rFonts w:ascii="Times New Roman" w:hAnsi="Times New Roman" w:eastAsia="Times New Roman" w:cs="Times New Roman"/>
          <w:bCs/>
          <w:sz w:val="24"/>
          <w:szCs w:val="24"/>
        </w:rPr>
        <w:t>ability-to-pay</w:t>
      </w:r>
      <w:r>
        <w:rPr>
          <w:rFonts w:ascii="Times New Roman" w:hAnsi="Times New Roman" w:eastAsia="Times New Roman" w:cs="Times New Roman"/>
          <w:sz w:val="24"/>
          <w:szCs w:val="24"/>
        </w:rPr>
        <w:t xml:space="preserve"> ideal.</w:t>
      </w:r>
    </w:p>
    <w:p w14:paraId="1D602869">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(ii) Indirect taxes</w:t>
      </w:r>
    </w:p>
    <w:p w14:paraId="4739E3D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Indirect taxes are shifted through prices. Their social legitimacy becomes fragile in inflationary periods; this is why VAT debates in Nigeria often turn political. Reuters highlighted this tension; they noted that the proposals to adjust VAT rates and distribution formulas attracted resistance. Consequently, the VAT rate was retained at 7.5% at that legislative stage and minimum wage earners were exempted from income tax.</w:t>
      </w:r>
      <w:r>
        <w:rPr>
          <w:rStyle w:val="16"/>
          <w:rFonts w:ascii="Times New Roman" w:hAnsi="Times New Roman" w:eastAsia="Times New Roman" w:cs="Times New Roman"/>
          <w:sz w:val="24"/>
          <w:szCs w:val="24"/>
        </w:rPr>
        <w:footnoteReference w:id="30"/>
      </w:r>
      <w:r>
        <w:rPr>
          <w:rFonts w:ascii="Times New Roman" w:hAnsi="Times New Roman" w:eastAsia="Times New Roman" w:cs="Times New Roman"/>
          <w:sz w:val="24"/>
          <w:szCs w:val="24"/>
        </w:rPr>
        <w:t xml:space="preserve"> </w:t>
      </w:r>
    </w:p>
    <w:p w14:paraId="79C0F06E">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 Classification by tier of government (fiscal federalism)</w:t>
      </w:r>
    </w:p>
    <w:p w14:paraId="7B4BD03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constitution creates clarity and friction. Some taxing powers are allocated explicitly. Conversely, others become contested at the edges. That is why tax reform in Nigeria is not only technocratic. It is also a constitutional and federalism matter. In </w:t>
      </w:r>
      <w:r>
        <w:rPr>
          <w:rFonts w:ascii="Times New Roman" w:hAnsi="Times New Roman" w:eastAsia="Times New Roman" w:cs="Times New Roman"/>
          <w:bCs/>
          <w:sz w:val="24"/>
          <w:szCs w:val="24"/>
        </w:rPr>
        <w:t>A-G Ogun State v Aberuagba</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31"/>
      </w:r>
      <w:r>
        <w:rPr>
          <w:rFonts w:ascii="Times New Roman" w:hAnsi="Times New Roman" w:eastAsia="Times New Roman" w:cs="Times New Roman"/>
          <w:sz w:val="24"/>
          <w:szCs w:val="24"/>
        </w:rPr>
        <w:t xml:space="preserve"> the Supreme Court examined the limits of state legislative competence where sales tax rules interacted with controlled commodities and inter-state/international trade considerations. Hence, state tax legislation may be struck down or limited where it conflicts with federal law or encroaches on reserved areas; the Court treated aspects of Ogun’s sales tax as inconsistent with federal price control framework and thus it was unconstitutional to that extent because </w:t>
      </w:r>
      <w:r>
        <w:rPr>
          <w:rFonts w:ascii="Times New Roman" w:hAnsi="Times New Roman" w:eastAsia="Times New Roman" w:cs="Times New Roman"/>
          <w:i/>
          <w:iCs/>
          <w:sz w:val="24"/>
          <w:szCs w:val="24"/>
        </w:rPr>
        <w:t>lex superior derogat legi inferiori</w:t>
      </w:r>
      <w:r>
        <w:rPr>
          <w:rFonts w:ascii="Times New Roman" w:hAnsi="Times New Roman" w:eastAsia="Times New Roman" w:cs="Times New Roman"/>
          <w:sz w:val="24"/>
          <w:szCs w:val="24"/>
        </w:rPr>
        <w:t xml:space="preserve"> (a higher law prevails over a lower law). </w:t>
      </w:r>
    </w:p>
    <w:p w14:paraId="67F3ABDE">
      <w:pPr>
        <w:pStyle w:val="4"/>
      </w:pPr>
      <w:bookmarkStart w:id="23" w:name="_Toc233686192"/>
      <w:r>
        <w:t xml:space="preserve">2.1.3 </w:t>
      </w:r>
      <w:r>
        <w:tab/>
      </w:r>
      <w:r>
        <w:t>Meaning of “Taxation”</w:t>
      </w:r>
      <w:bookmarkEnd w:id="23"/>
    </w:p>
    <w:p w14:paraId="76E12B7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“Taxation” is broader than “tax”. It is the legal and administrative system that governs:</w:t>
      </w:r>
    </w:p>
    <w:p w14:paraId="2ABA6FD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Imposition</w:t>
      </w:r>
      <w:r>
        <w:rPr>
          <w:rFonts w:ascii="Times New Roman" w:hAnsi="Times New Roman" w:eastAsia="Times New Roman" w:cs="Times New Roman"/>
          <w:sz w:val="24"/>
          <w:szCs w:val="24"/>
        </w:rPr>
        <w:t xml:space="preserve"> (charging provisions, base, rate, exemptions), </w:t>
      </w:r>
    </w:p>
    <w:p w14:paraId="74F1915B">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Assessment</w:t>
      </w:r>
      <w:r>
        <w:rPr>
          <w:rFonts w:ascii="Times New Roman" w:hAnsi="Times New Roman" w:eastAsia="Times New Roman" w:cs="Times New Roman"/>
          <w:sz w:val="24"/>
          <w:szCs w:val="24"/>
        </w:rPr>
        <w:t xml:space="preserve"> (self-assessment, administrative assessment, audit adjustments),</w:t>
      </w:r>
    </w:p>
    <w:p w14:paraId="47AACBBB">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Collection and enforcement</w:t>
      </w:r>
      <w:r>
        <w:rPr>
          <w:rFonts w:ascii="Times New Roman" w:hAnsi="Times New Roman" w:eastAsia="Times New Roman" w:cs="Times New Roman"/>
          <w:sz w:val="24"/>
          <w:szCs w:val="24"/>
        </w:rPr>
        <w:t xml:space="preserve"> (withholding, penalties, recovery, distraint), and</w:t>
      </w:r>
    </w:p>
    <w:p w14:paraId="191F3B4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Dispute resolution</w:t>
      </w:r>
      <w:r>
        <w:rPr>
          <w:rFonts w:ascii="Times New Roman" w:hAnsi="Times New Roman" w:eastAsia="Times New Roman" w:cs="Times New Roman"/>
          <w:sz w:val="24"/>
          <w:szCs w:val="24"/>
        </w:rPr>
        <w:t xml:space="preserve"> (objections, tribunals, courts).</w:t>
      </w:r>
      <w:r>
        <w:rPr>
          <w:rStyle w:val="16"/>
          <w:rFonts w:ascii="Times New Roman" w:hAnsi="Times New Roman" w:eastAsia="Times New Roman" w:cs="Times New Roman"/>
          <w:sz w:val="24"/>
          <w:szCs w:val="24"/>
        </w:rPr>
        <w:footnoteReference w:id="32"/>
      </w:r>
      <w:r>
        <w:rPr>
          <w:rFonts w:ascii="Times New Roman" w:hAnsi="Times New Roman" w:eastAsia="Times New Roman" w:cs="Times New Roman"/>
          <w:sz w:val="24"/>
          <w:szCs w:val="24"/>
        </w:rPr>
        <w:t xml:space="preserve"> </w:t>
      </w:r>
    </w:p>
    <w:p w14:paraId="0CAE0E4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Therefore, taxation is a chain of public power. Enforcement becomes vulnerable if any link is defective. The reforms elevate administration to the centre and it provides a unified procedure through the </w:t>
      </w:r>
      <w:r>
        <w:rPr>
          <w:rFonts w:ascii="Times New Roman" w:hAnsi="Times New Roman" w:eastAsia="Times New Roman" w:cs="Times New Roman"/>
          <w:bCs/>
          <w:sz w:val="24"/>
          <w:szCs w:val="24"/>
        </w:rPr>
        <w:t>Nigeria Tax Administration Act 2025</w:t>
      </w:r>
      <w:r>
        <w:rPr>
          <w:rFonts w:ascii="Times New Roman" w:hAnsi="Times New Roman" w:eastAsia="Times New Roman" w:cs="Times New Roman"/>
          <w:sz w:val="24"/>
          <w:szCs w:val="24"/>
        </w:rPr>
        <w:t xml:space="preserve">. It facilitates compliance through consistent administration. The structure of the act shows that taxation is a compliance ecosystem. </w:t>
      </w:r>
    </w:p>
    <w:p w14:paraId="0F42618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Moreover, tax authorities wield coercive powers. Hence, the legitimacy of taxation depends on </w:t>
      </w:r>
      <w:r>
        <w:rPr>
          <w:rFonts w:ascii="Times New Roman" w:hAnsi="Times New Roman" w:eastAsia="Times New Roman" w:cs="Times New Roman"/>
          <w:bCs/>
          <w:sz w:val="24"/>
          <w:szCs w:val="24"/>
        </w:rPr>
        <w:t>how power is exercised</w:t>
      </w:r>
      <w:r>
        <w:rPr>
          <w:rFonts w:ascii="Times New Roman" w:hAnsi="Times New Roman" w:eastAsia="Times New Roman" w:cs="Times New Roman"/>
          <w:sz w:val="24"/>
          <w:szCs w:val="24"/>
        </w:rPr>
        <w:t>. It was reported that there were discrepancies between the gazetted law and legislative versions and that some provisions could grant expansive powers (this includes powers to seize asset without court orders and mandatory deposits before hearings).</w:t>
      </w:r>
      <w:r>
        <w:rPr>
          <w:rStyle w:val="16"/>
          <w:rFonts w:ascii="Times New Roman" w:hAnsi="Times New Roman" w:eastAsia="Times New Roman" w:cs="Times New Roman"/>
          <w:sz w:val="24"/>
          <w:szCs w:val="24"/>
        </w:rPr>
        <w:footnoteReference w:id="33"/>
      </w:r>
      <w:r>
        <w:rPr>
          <w:rFonts w:ascii="Times New Roman" w:hAnsi="Times New Roman" w:eastAsia="Times New Roman" w:cs="Times New Roman"/>
          <w:sz w:val="24"/>
          <w:szCs w:val="24"/>
        </w:rPr>
        <w:t xml:space="preserve"> A reform becomes illegitimate when safeguards are weakened. </w:t>
      </w:r>
      <w:r>
        <w:rPr>
          <w:rFonts w:ascii="Times New Roman" w:hAnsi="Times New Roman" w:eastAsia="Times New Roman" w:cs="Times New Roman"/>
          <w:bCs/>
          <w:sz w:val="24"/>
          <w:szCs w:val="24"/>
        </w:rPr>
        <w:t xml:space="preserve">Lastly, </w:t>
      </w:r>
      <w:r>
        <w:rPr>
          <w:rFonts w:ascii="Times New Roman" w:hAnsi="Times New Roman" w:eastAsia="Times New Roman" w:cs="Times New Roman"/>
          <w:sz w:val="24"/>
          <w:szCs w:val="24"/>
        </w:rPr>
        <w:t>a credible tax system requires dispute resolution and this must be accessible and effective. For example, the Tax</w:t>
      </w:r>
      <w:r>
        <w:rPr>
          <w:rFonts w:ascii="Times New Roman" w:hAnsi="Times New Roman" w:eastAsia="Times New Roman" w:cs="Times New Roman"/>
          <w:bCs/>
          <w:sz w:val="24"/>
          <w:szCs w:val="24"/>
        </w:rPr>
        <w:t xml:space="preserve"> Appeal Tribunal</w:t>
      </w:r>
      <w:r>
        <w:rPr>
          <w:rFonts w:ascii="Times New Roman" w:hAnsi="Times New Roman" w:eastAsia="Times New Roman" w:cs="Times New Roman"/>
          <w:sz w:val="24"/>
          <w:szCs w:val="24"/>
        </w:rPr>
        <w:t xml:space="preserve"> is a pathway for challenging administrative action. Hence, compliance becomes negative if taxpayers perceive that objections and appeals are futile. More so, evasion becomes rational responses. In essence, dispute resolution is important in “taxation;” it is not an afterthought.</w:t>
      </w:r>
    </w:p>
    <w:p w14:paraId="30D4BC10">
      <w:pPr>
        <w:pStyle w:val="4"/>
      </w:pPr>
      <w:bookmarkStart w:id="24" w:name="_Toc233686193"/>
      <w:r>
        <w:t xml:space="preserve">2.1.4 </w:t>
      </w:r>
      <w:r>
        <w:tab/>
      </w:r>
      <w:r>
        <w:t>Concept of “Tax Reform”</w:t>
      </w:r>
      <w:bookmarkEnd w:id="24"/>
    </w:p>
    <w:p w14:paraId="51681FB6">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 Meaning and scope</w:t>
      </w:r>
    </w:p>
    <w:p w14:paraId="4B84DC1B">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 reform” are changes which are made to tax laws and administration and they aim to improve efficiency, and compliance. Reform may be:</w:t>
      </w:r>
    </w:p>
    <w:p w14:paraId="6251E56E">
      <w:pPr>
        <w:pStyle w:val="27"/>
        <w:numPr>
          <w:ilvl w:val="0"/>
          <w:numId w:val="4"/>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substantive</w:t>
      </w:r>
      <w:r>
        <w:rPr>
          <w:rFonts w:ascii="Times New Roman" w:hAnsi="Times New Roman" w:eastAsia="Times New Roman" w:cs="Times New Roman"/>
          <w:sz w:val="24"/>
          <w:szCs w:val="24"/>
        </w:rPr>
        <w:t xml:space="preserve"> (new bases, rates, exemptions, anti-avoidance),</w:t>
      </w:r>
    </w:p>
    <w:p w14:paraId="2D2FEB5E">
      <w:pPr>
        <w:pStyle w:val="27"/>
        <w:numPr>
          <w:ilvl w:val="0"/>
          <w:numId w:val="4"/>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institutional</w:t>
      </w:r>
      <w:r>
        <w:rPr>
          <w:rFonts w:ascii="Times New Roman" w:hAnsi="Times New Roman" w:eastAsia="Times New Roman" w:cs="Times New Roman"/>
          <w:sz w:val="24"/>
          <w:szCs w:val="24"/>
        </w:rPr>
        <w:t xml:space="preserve"> (agency restructuring, coordination mechanisms), and/or</w:t>
      </w:r>
    </w:p>
    <w:p w14:paraId="4BD21E87">
      <w:pPr>
        <w:pStyle w:val="27"/>
        <w:numPr>
          <w:ilvl w:val="0"/>
          <w:numId w:val="4"/>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procedural/administrative</w:t>
      </w:r>
      <w:r>
        <w:rPr>
          <w:rFonts w:ascii="Times New Roman" w:hAnsi="Times New Roman" w:eastAsia="Times New Roman" w:cs="Times New Roman"/>
          <w:sz w:val="24"/>
          <w:szCs w:val="24"/>
        </w:rPr>
        <w:t xml:space="preserve"> (digitisation, e-invoicing, audit reforms).</w:t>
      </w:r>
    </w:p>
    <w:p w14:paraId="04AC5B9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the Tinubu era, reform has been presented as structural, culminating in a set of new Acts.</w:t>
      </w:r>
      <w:r>
        <w:rPr>
          <w:rStyle w:val="16"/>
          <w:rFonts w:ascii="Times New Roman" w:hAnsi="Times New Roman" w:eastAsia="Times New Roman" w:cs="Times New Roman"/>
          <w:sz w:val="24"/>
          <w:szCs w:val="24"/>
        </w:rPr>
        <w:footnoteReference w:id="34"/>
      </w:r>
      <w:r>
        <w:rPr>
          <w:rFonts w:ascii="Times New Roman" w:hAnsi="Times New Roman" w:eastAsia="Times New Roman" w:cs="Times New Roman"/>
          <w:sz w:val="24"/>
          <w:szCs w:val="24"/>
        </w:rPr>
        <w:t xml:space="preserve"> </w:t>
      </w:r>
    </w:p>
    <w:p w14:paraId="5D797FE9">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 Reform as consolidation</w:t>
      </w:r>
    </w:p>
    <w:p w14:paraId="15CE342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Consolidation is often sold as “simplification.” However, it may produce transitional ambiguity. When multiple statutes are repealed and re-enacted in consolidated form, questions arise on:</w:t>
      </w:r>
    </w:p>
    <w:p w14:paraId="0A29D01C">
      <w:pPr>
        <w:pStyle w:val="27"/>
        <w:numPr>
          <w:ilvl w:val="0"/>
          <w:numId w:val="5"/>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survival of subordinate legislation,</w:t>
      </w:r>
    </w:p>
    <w:p w14:paraId="29149571">
      <w:pPr>
        <w:pStyle w:val="27"/>
        <w:numPr>
          <w:ilvl w:val="0"/>
          <w:numId w:val="5"/>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transitional liabilities and assessments,</w:t>
      </w:r>
    </w:p>
    <w:p w14:paraId="49867F2C">
      <w:pPr>
        <w:pStyle w:val="27"/>
        <w:numPr>
          <w:ilvl w:val="0"/>
          <w:numId w:val="5"/>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interpretation of continuity clauses, and</w:t>
      </w:r>
    </w:p>
    <w:p w14:paraId="4C2B1405">
      <w:pPr>
        <w:pStyle w:val="27"/>
        <w:numPr>
          <w:ilvl w:val="0"/>
          <w:numId w:val="5"/>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treatment of pending disputes.</w:t>
      </w:r>
    </w:p>
    <w:p w14:paraId="0E1BDFF8">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a reform is a consolidation, it must be judged not only by policy intent but by doctrinal clarity and enforceability.</w:t>
      </w:r>
    </w:p>
    <w:p w14:paraId="292E135F">
      <w:pPr>
        <w:spacing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(c) Reform as administrative transformation</w:t>
      </w:r>
    </w:p>
    <w:p w14:paraId="75348BF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distinctive Tinubu-era feature is the explicit turn toward </w:t>
      </w:r>
      <w:r>
        <w:rPr>
          <w:rFonts w:ascii="Times New Roman" w:hAnsi="Times New Roman" w:eastAsia="Times New Roman" w:cs="Times New Roman"/>
          <w:bCs/>
          <w:sz w:val="24"/>
          <w:szCs w:val="24"/>
        </w:rPr>
        <w:t>VAT fiscalisation rules and mandatory e-invoicing</w:t>
      </w:r>
      <w:r>
        <w:rPr>
          <w:rFonts w:ascii="Times New Roman" w:hAnsi="Times New Roman" w:eastAsia="Times New Roman" w:cs="Times New Roman"/>
          <w:sz w:val="24"/>
          <w:szCs w:val="24"/>
        </w:rPr>
        <w:t>. Digitisation reduces leakages and widen compliance. However, they also create new legal issues. These includes: data integrity, privacy, cybersecurity, equality of access, and administrative arbitrariness in automated enforcement. The Nigeria Tax Administration Act 2025 also reflects modern anti-avoidance orientation by addressing “prohibited tax avoidance arrangements” and tax advantage schemes.</w:t>
      </w:r>
      <w:r>
        <w:rPr>
          <w:rStyle w:val="16"/>
          <w:rFonts w:ascii="Times New Roman" w:hAnsi="Times New Roman" w:eastAsia="Times New Roman" w:cs="Times New Roman"/>
          <w:sz w:val="24"/>
          <w:szCs w:val="24"/>
        </w:rPr>
        <w:footnoteReference w:id="35"/>
      </w:r>
      <w:r>
        <w:rPr>
          <w:rFonts w:ascii="Times New Roman" w:hAnsi="Times New Roman" w:eastAsia="Times New Roman" w:cs="Times New Roman"/>
          <w:sz w:val="24"/>
          <w:szCs w:val="24"/>
        </w:rPr>
        <w:t xml:space="preserve"> </w:t>
      </w:r>
    </w:p>
    <w:p w14:paraId="12201A83">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 “Reform” is not always “improvement”</w:t>
      </w:r>
    </w:p>
    <w:p w14:paraId="013A64E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Reform may be regressive or destabilising. A reform may increase revenue. However, it may damage welfare. In the same light, it may simplify law. However, it may also increase discretionary power. The political economy around reform is therefore part of the concept itself. </w:t>
      </w:r>
    </w:p>
    <w:p w14:paraId="2E8A98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2.1.5 </w:t>
      </w:r>
      <w:r>
        <w:rPr>
          <w:rFonts w:ascii="Times New Roman" w:hAnsi="Times New Roman" w:cs="Times New Roman"/>
          <w:b/>
          <w:bCs/>
          <w:sz w:val="24"/>
          <w:szCs w:val="24"/>
        </w:rPr>
        <w:tab/>
      </w:r>
      <w:r>
        <w:rPr>
          <w:rFonts w:ascii="Times New Roman" w:hAnsi="Times New Roman" w:cs="Times New Roman"/>
          <w:b/>
          <w:bCs/>
          <w:sz w:val="24"/>
          <w:szCs w:val="24"/>
        </w:rPr>
        <w:t>Drivers of Tax Reform</w:t>
      </w:r>
    </w:p>
    <w:p w14:paraId="65BF892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Tax reforms are explained by interlocking drivers. They include the following. </w:t>
      </w:r>
    </w:p>
    <w:p w14:paraId="280BD1C7">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 Revenue crisis</w:t>
      </w:r>
    </w:p>
    <w:p w14:paraId="4E98269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Low tax-to-GDP performance and debt service pressure have been cited as triggers for reform. It is noted that the reforms are drives to revamp the tax system and improve revenue. The narrative is that revenue is not generated sufficiently and this had forced dependence on borrowing. </w:t>
      </w:r>
    </w:p>
    <w:p w14:paraId="4B807711">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 Multiplicity of taxes</w:t>
      </w:r>
    </w:p>
    <w:p w14:paraId="12FB527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recurring driver is the claim that tax system in Nigeria is fragmented with multiple overlapping taxes. This imposes disproportionate compliance costs on SMEs and also discourages formalisation. Hence, the reforms aims to reduce multiplicity, simplify compliance, and expand the base, including through digital compliance structures. </w:t>
      </w:r>
    </w:p>
    <w:p w14:paraId="41750AA5">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 Jurisdictional conflict</w:t>
      </w:r>
    </w:p>
    <w:p w14:paraId="072D0B4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Reform is driven by the need to reduce jurisdictional conflict and clarify competence. Without constitutional harmony, reforms create litigation and compliance uncertainty. </w:t>
      </w:r>
    </w:p>
    <w:p w14:paraId="18C88E26">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 Digitisation and data-driven enforcement</w:t>
      </w:r>
    </w:p>
    <w:p w14:paraId="09D7164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Digitisation is driven by leakages, weak taxpayer registers, and cash/informal economic structure. Empirical studies in Nigeria have reported that there is a relationships between tax digitalisation and revenue performance in specific state contexts and this supports the policy premise that digital systems improves outcomes.</w:t>
      </w:r>
      <w:r>
        <w:rPr>
          <w:rStyle w:val="16"/>
          <w:rFonts w:ascii="Times New Roman" w:hAnsi="Times New Roman" w:eastAsia="Times New Roman" w:cs="Times New Roman"/>
          <w:sz w:val="24"/>
          <w:szCs w:val="24"/>
        </w:rPr>
        <w:footnoteReference w:id="36"/>
      </w:r>
      <w:r>
        <w:rPr>
          <w:rFonts w:ascii="Times New Roman" w:hAnsi="Times New Roman" w:eastAsia="Times New Roman" w:cs="Times New Roman"/>
          <w:sz w:val="24"/>
          <w:szCs w:val="24"/>
        </w:rPr>
        <w:t xml:space="preserve"> However, generalisation remains a critical issue.</w:t>
      </w:r>
    </w:p>
    <w:p w14:paraId="4365D118">
      <w:pPr>
        <w:spacing w:line="480" w:lineRule="auto"/>
        <w:jc w:val="both"/>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2.2 </w:t>
      </w:r>
      <w:r>
        <w:rPr>
          <w:rFonts w:ascii="Times New Roman" w:hAnsi="Times New Roman" w:cs="Times New Roman"/>
          <w:b/>
          <w:bCs/>
          <w:kern w:val="36"/>
          <w:sz w:val="24"/>
          <w:szCs w:val="24"/>
        </w:rPr>
        <w:tab/>
      </w:r>
      <w:r>
        <w:rPr>
          <w:rFonts w:ascii="Times New Roman" w:hAnsi="Times New Roman" w:cs="Times New Roman"/>
          <w:b/>
          <w:bCs/>
          <w:kern w:val="36"/>
          <w:sz w:val="24"/>
          <w:szCs w:val="24"/>
        </w:rPr>
        <w:t>Theoretical Framework</w:t>
      </w:r>
    </w:p>
    <w:p w14:paraId="2BE6C08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section deploys jurisprudential theories to create a critical framework for tax reforms under the Ahmed Tinubu’s era. Together, they prevent “single-lens” error. Tax reforms are not only legal texts; they are rule-of-law, welfare, and institutional behaviour in a contested economy.</w:t>
      </w:r>
    </w:p>
    <w:p w14:paraId="07F66204">
      <w:pPr>
        <w:pStyle w:val="4"/>
      </w:pPr>
      <w:bookmarkStart w:id="25" w:name="_Toc233686194"/>
      <w:r>
        <w:t xml:space="preserve">2.2.1 </w:t>
      </w:r>
      <w:r>
        <w:tab/>
      </w:r>
      <w:r>
        <w:t>Natural Law Theory</w:t>
      </w:r>
      <w:bookmarkEnd w:id="25"/>
    </w:p>
    <w:p w14:paraId="4BDD7738">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Natural law theory asserts that law is connected to morality and justice.</w:t>
      </w:r>
      <w:r>
        <w:rPr>
          <w:rStyle w:val="16"/>
          <w:rFonts w:ascii="Times New Roman" w:hAnsi="Times New Roman" w:eastAsia="Times New Roman" w:cs="Times New Roman"/>
          <w:sz w:val="24"/>
          <w:szCs w:val="24"/>
        </w:rPr>
        <w:footnoteReference w:id="37"/>
      </w:r>
      <w:r>
        <w:rPr>
          <w:rFonts w:ascii="Times New Roman" w:hAnsi="Times New Roman" w:eastAsia="Times New Roman" w:cs="Times New Roman"/>
          <w:sz w:val="24"/>
          <w:szCs w:val="24"/>
        </w:rPr>
        <w:t xml:space="preserve"> Classical Thomist</w:t>
      </w:r>
      <w:r>
        <w:rPr>
          <w:rStyle w:val="16"/>
          <w:rFonts w:ascii="Times New Roman" w:hAnsi="Times New Roman" w:eastAsia="Times New Roman" w:cs="Times New Roman"/>
          <w:sz w:val="24"/>
          <w:szCs w:val="24"/>
        </w:rPr>
        <w:footnoteReference w:id="38"/>
      </w:r>
      <w:r>
        <w:rPr>
          <w:rFonts w:ascii="Times New Roman" w:hAnsi="Times New Roman" w:eastAsia="Times New Roman" w:cs="Times New Roman"/>
          <w:sz w:val="24"/>
          <w:szCs w:val="24"/>
        </w:rPr>
        <w:t xml:space="preserve"> asserts that law is an ordinance of reason for the common good and it is made by the legitimate authority and promulgated.</w:t>
      </w:r>
      <w:r>
        <w:rPr>
          <w:rStyle w:val="16"/>
          <w:rFonts w:ascii="Times New Roman" w:hAnsi="Times New Roman" w:eastAsia="Times New Roman" w:cs="Times New Roman"/>
          <w:sz w:val="24"/>
          <w:szCs w:val="24"/>
        </w:rPr>
        <w:footnoteReference w:id="39"/>
      </w:r>
      <w:r>
        <w:rPr>
          <w:rFonts w:ascii="Times New Roman" w:hAnsi="Times New Roman" w:eastAsia="Times New Roman" w:cs="Times New Roman"/>
          <w:sz w:val="24"/>
          <w:szCs w:val="24"/>
        </w:rPr>
        <w:t xml:space="preserve"> In taxation, this approach foregrounds the moral legitimacy of coercion. The state may compel contribution because it has obligations to secure social welfare. This resonates with </w:t>
      </w:r>
      <w:r>
        <w:rPr>
          <w:rFonts w:ascii="Times New Roman" w:hAnsi="Times New Roman" w:eastAsia="Times New Roman" w:cs="Times New Roman"/>
          <w:bCs/>
          <w:sz w:val="24"/>
          <w:szCs w:val="24"/>
        </w:rPr>
        <w:t>salus populi suprema lex</w:t>
      </w:r>
      <w:r>
        <w:rPr>
          <w:rFonts w:ascii="Times New Roman" w:hAnsi="Times New Roman" w:eastAsia="Times New Roman" w:cs="Times New Roman"/>
          <w:sz w:val="24"/>
          <w:szCs w:val="24"/>
        </w:rPr>
        <w:t xml:space="preserve"> (the welfare of the people is the supreme law) as a guiding ideal.</w:t>
      </w:r>
      <w:r>
        <w:rPr>
          <w:rStyle w:val="16"/>
          <w:rFonts w:ascii="Times New Roman" w:hAnsi="Times New Roman" w:eastAsia="Times New Roman" w:cs="Times New Roman"/>
          <w:sz w:val="24"/>
          <w:szCs w:val="24"/>
        </w:rPr>
        <w:footnoteReference w:id="40"/>
      </w:r>
      <w:r>
        <w:rPr>
          <w:rFonts w:ascii="Times New Roman" w:hAnsi="Times New Roman" w:eastAsia="Times New Roman" w:cs="Times New Roman"/>
          <w:sz w:val="24"/>
          <w:szCs w:val="24"/>
        </w:rPr>
        <w:t xml:space="preserve"> Natural law supports fairness in allocating tax burden. More so, it supports transparency in public expenditure because it is a part of fiscal bargain. Natural law prompts a foundational question: </w:t>
      </w:r>
      <w:r>
        <w:rPr>
          <w:rFonts w:ascii="Times New Roman" w:hAnsi="Times New Roman" w:eastAsia="Times New Roman" w:cs="Times New Roman"/>
          <w:bCs/>
          <w:sz w:val="24"/>
          <w:szCs w:val="24"/>
        </w:rPr>
        <w:t>are these reforms just?</w:t>
      </w:r>
      <w:r>
        <w:rPr>
          <w:rFonts w:ascii="Times New Roman" w:hAnsi="Times New Roman" w:eastAsia="Times New Roman" w:cs="Times New Roman"/>
          <w:sz w:val="24"/>
          <w:szCs w:val="24"/>
        </w:rPr>
        <w:t xml:space="preserve"> A reform may be valid yet illegitimate morally if it deepens hardship or distributes burdens unfairly. This is illustrated by the political controversy around the adjustments of VAT and exemptions. It was reported that legislators modified proposals to protect minimum wage earners from income tax.</w:t>
      </w:r>
      <w:r>
        <w:rPr>
          <w:rStyle w:val="16"/>
          <w:rFonts w:ascii="Times New Roman" w:hAnsi="Times New Roman" w:eastAsia="Times New Roman" w:cs="Times New Roman"/>
          <w:sz w:val="24"/>
          <w:szCs w:val="24"/>
        </w:rPr>
        <w:footnoteReference w:id="41"/>
      </w:r>
      <w:r>
        <w:rPr>
          <w:rFonts w:ascii="Times New Roman" w:hAnsi="Times New Roman" w:eastAsia="Times New Roman" w:cs="Times New Roman"/>
          <w:sz w:val="24"/>
          <w:szCs w:val="24"/>
        </w:rPr>
        <w:t xml:space="preserve"> This kept reform within the moral boundary of protecting the vulnerable.</w:t>
      </w:r>
      <w:r>
        <w:rPr>
          <w:rStyle w:val="16"/>
          <w:rFonts w:ascii="Times New Roman" w:hAnsi="Times New Roman" w:eastAsia="Times New Roman" w:cs="Times New Roman"/>
          <w:sz w:val="24"/>
          <w:szCs w:val="24"/>
        </w:rPr>
        <w:footnoteReference w:id="42"/>
      </w:r>
      <w:r>
        <w:rPr>
          <w:rFonts w:ascii="Times New Roman" w:hAnsi="Times New Roman" w:eastAsia="Times New Roman" w:cs="Times New Roman"/>
          <w:sz w:val="24"/>
          <w:szCs w:val="24"/>
        </w:rPr>
        <w:t xml:space="preserve"> Indeed, natural law is a moral and policy benchmark. However, courts decide tax disputes on legality and competence, not moral fairness. Therefore, natural law critiques the legitimacy of a reform and evaluates its impacts. It does not assume unfair taxes are unconstitutional.</w:t>
      </w:r>
    </w:p>
    <w:p w14:paraId="62DFD82D">
      <w:pPr>
        <w:pStyle w:val="4"/>
      </w:pPr>
      <w:bookmarkStart w:id="26" w:name="_Toc233686195"/>
      <w:r>
        <w:t xml:space="preserve">2.2.2 </w:t>
      </w:r>
      <w:r>
        <w:tab/>
      </w:r>
      <w:r>
        <w:t>Legal Positivism</w:t>
      </w:r>
      <w:bookmarkEnd w:id="26"/>
    </w:p>
    <w:p w14:paraId="126D4CE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Legal positivism insists that a law is valid when it is </w:t>
      </w:r>
      <w:r>
        <w:rPr>
          <w:rFonts w:ascii="Times New Roman" w:hAnsi="Times New Roman" w:eastAsia="Times New Roman" w:cs="Times New Roman"/>
          <w:bCs/>
          <w:sz w:val="24"/>
          <w:szCs w:val="24"/>
        </w:rPr>
        <w:t>made by a recognised authority</w:t>
      </w:r>
      <w:r>
        <w:rPr>
          <w:rFonts w:ascii="Times New Roman" w:hAnsi="Times New Roman" w:eastAsia="Times New Roman" w:cs="Times New Roman"/>
          <w:sz w:val="24"/>
          <w:szCs w:val="24"/>
        </w:rPr>
        <w:t>, not because it is morally good.</w:t>
      </w:r>
      <w:r>
        <w:rPr>
          <w:rStyle w:val="16"/>
          <w:rFonts w:ascii="Times New Roman" w:hAnsi="Times New Roman" w:eastAsia="Times New Roman" w:cs="Times New Roman"/>
          <w:sz w:val="24"/>
          <w:szCs w:val="24"/>
        </w:rPr>
        <w:footnoteReference w:id="43"/>
      </w:r>
      <w:r>
        <w:rPr>
          <w:rFonts w:ascii="Times New Roman" w:hAnsi="Times New Roman" w:eastAsia="Times New Roman" w:cs="Times New Roman"/>
          <w:sz w:val="24"/>
          <w:szCs w:val="24"/>
        </w:rPr>
        <w:t xml:space="preserve"> This is captured in Hart’s separability thesis. Hart argues that there is no connection between legal validity and moral merit.</w:t>
      </w:r>
      <w:r>
        <w:rPr>
          <w:rStyle w:val="16"/>
          <w:rFonts w:ascii="Times New Roman" w:hAnsi="Times New Roman" w:eastAsia="Times New Roman" w:cs="Times New Roman"/>
          <w:sz w:val="24"/>
          <w:szCs w:val="24"/>
        </w:rPr>
        <w:footnoteReference w:id="44"/>
      </w:r>
      <w:r>
        <w:rPr>
          <w:rFonts w:ascii="Times New Roman" w:hAnsi="Times New Roman" w:eastAsia="Times New Roman" w:cs="Times New Roman"/>
          <w:sz w:val="24"/>
          <w:szCs w:val="24"/>
        </w:rPr>
        <w:t xml:space="preserve"> Positivism demands that tax liability must be traced to: (i) a valid charging statute, (ii) legislative competence, and (iii) prescribed procedures must be complied with. </w:t>
      </w:r>
      <w:r>
        <w:rPr>
          <w:rFonts w:ascii="Times New Roman" w:hAnsi="Times New Roman" w:eastAsia="Times New Roman" w:cs="Times New Roman"/>
          <w:bCs/>
          <w:i/>
          <w:sz w:val="24"/>
          <w:szCs w:val="24"/>
        </w:rPr>
        <w:t>A-G Ogun v Aberuagba</w:t>
      </w:r>
      <w:r>
        <w:rPr>
          <w:rStyle w:val="16"/>
          <w:rFonts w:ascii="Times New Roman" w:hAnsi="Times New Roman" w:eastAsia="Times New Roman" w:cs="Times New Roman"/>
          <w:bCs/>
          <w:sz w:val="24"/>
          <w:szCs w:val="24"/>
        </w:rPr>
        <w:footnoteReference w:id="45"/>
      </w:r>
      <w:r>
        <w:rPr>
          <w:rFonts w:ascii="Times New Roman" w:hAnsi="Times New Roman" w:eastAsia="Times New Roman" w:cs="Times New Roman"/>
          <w:sz w:val="24"/>
          <w:szCs w:val="24"/>
        </w:rPr>
        <w:t xml:space="preserve"> shows positivism in action. In this case, the court scrutinise whether the sales tax law of the state is consistent with the constitution, and where inconsistency exists, the state law became invalid to that extent.</w:t>
      </w:r>
      <w:r>
        <w:rPr>
          <w:rStyle w:val="16"/>
          <w:rFonts w:ascii="Times New Roman" w:hAnsi="Times New Roman" w:eastAsia="Times New Roman" w:cs="Times New Roman"/>
          <w:sz w:val="24"/>
          <w:szCs w:val="24"/>
        </w:rPr>
        <w:footnoteReference w:id="46"/>
      </w:r>
      <w:r>
        <w:rPr>
          <w:rFonts w:ascii="Times New Roman" w:hAnsi="Times New Roman" w:eastAsia="Times New Roman" w:cs="Times New Roman"/>
          <w:sz w:val="24"/>
          <w:szCs w:val="24"/>
        </w:rPr>
        <w:t xml:space="preserve"> The Nigeria Tax Administration Act 2025 provides for efficient administration and compliance. Positivism helps evaluate whether statutes confer powers and whether they embed clear procedures for objections and appeals. Where controversy arises, positivism demands close reading of statutory text. Consequently, the legitimacy of a reform depends on its statutory authority.</w:t>
      </w:r>
      <w:r>
        <w:rPr>
          <w:rStyle w:val="16"/>
          <w:rFonts w:ascii="Times New Roman" w:hAnsi="Times New Roman" w:eastAsia="Times New Roman" w:cs="Times New Roman"/>
          <w:sz w:val="24"/>
          <w:szCs w:val="24"/>
        </w:rPr>
        <w:footnoteReference w:id="47"/>
      </w:r>
      <w:r>
        <w:rPr>
          <w:rFonts w:ascii="Times New Roman" w:hAnsi="Times New Roman" w:eastAsia="Times New Roman" w:cs="Times New Roman"/>
          <w:sz w:val="24"/>
          <w:szCs w:val="24"/>
        </w:rPr>
        <w:t xml:space="preserve"> Positivism validates harsh taxes if it was enacted properly. However, harshness undermines compliance and social stability. This is why utilitarianism and realism are needed to evaluate consequences and institutional behaviour.</w:t>
      </w:r>
    </w:p>
    <w:p w14:paraId="60E84E72">
      <w:pPr>
        <w:spacing w:line="480" w:lineRule="auto"/>
        <w:jc w:val="both"/>
        <w:rPr>
          <w:rFonts w:ascii="Times New Roman" w:hAnsi="Times New Roman" w:eastAsia="Times New Roman" w:cs="Times New Roman"/>
          <w:sz w:val="24"/>
          <w:szCs w:val="24"/>
        </w:rPr>
      </w:pPr>
    </w:p>
    <w:p w14:paraId="7A68CA4A">
      <w:pPr>
        <w:spacing w:line="480" w:lineRule="auto"/>
        <w:jc w:val="both"/>
        <w:rPr>
          <w:rFonts w:ascii="Times New Roman" w:hAnsi="Times New Roman" w:eastAsia="Times New Roman" w:cs="Times New Roman"/>
          <w:sz w:val="24"/>
          <w:szCs w:val="24"/>
        </w:rPr>
      </w:pPr>
    </w:p>
    <w:p w14:paraId="09F613DE">
      <w:pPr>
        <w:pStyle w:val="4"/>
      </w:pPr>
      <w:bookmarkStart w:id="27" w:name="_Toc233686196"/>
      <w:r>
        <w:t xml:space="preserve">2.2.3 </w:t>
      </w:r>
      <w:r>
        <w:tab/>
      </w:r>
      <w:r>
        <w:t>Utilitarian Theory</w:t>
      </w:r>
      <w:bookmarkEnd w:id="27"/>
    </w:p>
    <w:p w14:paraId="7308FCD2">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Utilitarianism evaluates law by consequences. Hence, the tax system should produce the greatest net welfare. Jeremy Bentham propounded the principle of utility and it underpins this approach.</w:t>
      </w:r>
      <w:r>
        <w:rPr>
          <w:rStyle w:val="16"/>
          <w:rFonts w:ascii="Times New Roman" w:hAnsi="Times New Roman" w:eastAsia="Times New Roman" w:cs="Times New Roman"/>
          <w:sz w:val="24"/>
          <w:szCs w:val="24"/>
        </w:rPr>
        <w:footnoteReference w:id="48"/>
      </w:r>
      <w:r>
        <w:rPr>
          <w:rFonts w:ascii="Times New Roman" w:hAnsi="Times New Roman" w:eastAsia="Times New Roman" w:cs="Times New Roman"/>
          <w:sz w:val="24"/>
          <w:szCs w:val="24"/>
        </w:rPr>
        <w:t xml:space="preserve"> Legislation must maximise overall happiness. In taxation, utilitarianism supports reforms that:</w:t>
      </w:r>
    </w:p>
    <w:p w14:paraId="60752B8B">
      <w:pPr>
        <w:pStyle w:val="27"/>
        <w:numPr>
          <w:ilvl w:val="0"/>
          <w:numId w:val="6"/>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raise stable revenue,</w:t>
      </w:r>
    </w:p>
    <w:p w14:paraId="59786D08">
      <w:pPr>
        <w:pStyle w:val="27"/>
        <w:numPr>
          <w:ilvl w:val="0"/>
          <w:numId w:val="6"/>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reduce compliance cost,</w:t>
      </w:r>
    </w:p>
    <w:p w14:paraId="11DF0563">
      <w:pPr>
        <w:pStyle w:val="27"/>
        <w:numPr>
          <w:ilvl w:val="0"/>
          <w:numId w:val="6"/>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increase investment attractiveness, and</w:t>
      </w:r>
    </w:p>
    <w:p w14:paraId="36AF51E6">
      <w:pPr>
        <w:pStyle w:val="27"/>
        <w:numPr>
          <w:ilvl w:val="0"/>
          <w:numId w:val="6"/>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reduce distortions (e.g., multiple taxation and administrative bottlenecks).</w:t>
      </w:r>
    </w:p>
    <w:p w14:paraId="5CB8944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From a utilitarian view, digitisation (VAT fiscalisation, e-invoicing, real-time reporting) is designed to reduce leakages and make compliance cheaper in the long run because it automates records and audits. Utilitarianism also critics reforms which leads to hardship.</w:t>
      </w:r>
      <w:r>
        <w:rPr>
          <w:rStyle w:val="16"/>
          <w:rFonts w:ascii="Times New Roman" w:hAnsi="Times New Roman" w:eastAsia="Times New Roman" w:cs="Times New Roman"/>
          <w:sz w:val="24"/>
          <w:szCs w:val="24"/>
        </w:rPr>
        <w:footnoteReference w:id="49"/>
      </w:r>
      <w:r>
        <w:rPr>
          <w:rFonts w:ascii="Times New Roman" w:hAnsi="Times New Roman" w:eastAsia="Times New Roman" w:cs="Times New Roman"/>
          <w:sz w:val="24"/>
          <w:szCs w:val="24"/>
        </w:rPr>
        <w:t xml:space="preserve"> Even if revenue increases, the net welfare may fall if reforms:</w:t>
      </w:r>
    </w:p>
    <w:p w14:paraId="58B61DC3">
      <w:pPr>
        <w:pStyle w:val="27"/>
        <w:numPr>
          <w:ilvl w:val="0"/>
          <w:numId w:val="7"/>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intensify inflation-through-taxes,</w:t>
      </w:r>
    </w:p>
    <w:p w14:paraId="6836E079">
      <w:pPr>
        <w:pStyle w:val="27"/>
        <w:numPr>
          <w:ilvl w:val="0"/>
          <w:numId w:val="7"/>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burden low-income households disproportionately, or</w:t>
      </w:r>
    </w:p>
    <w:p w14:paraId="5F2A5FF7">
      <w:pPr>
        <w:pStyle w:val="27"/>
        <w:numPr>
          <w:ilvl w:val="0"/>
          <w:numId w:val="7"/>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impose heavy compliance costs on SMEs (leading to unemployment and deeper informality).</w:t>
      </w:r>
    </w:p>
    <w:p w14:paraId="39BD602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Utilitarian evaluation can become technocratic and may justify rights-reducing enforcement “for the greater good.”</w:t>
      </w:r>
      <w:r>
        <w:rPr>
          <w:rStyle w:val="16"/>
          <w:rFonts w:ascii="Times New Roman" w:hAnsi="Times New Roman" w:eastAsia="Times New Roman" w:cs="Times New Roman"/>
          <w:sz w:val="24"/>
          <w:szCs w:val="24"/>
        </w:rPr>
        <w:footnoteReference w:id="50"/>
      </w:r>
      <w:r>
        <w:rPr>
          <w:rFonts w:ascii="Times New Roman" w:hAnsi="Times New Roman" w:eastAsia="Times New Roman" w:cs="Times New Roman"/>
          <w:sz w:val="24"/>
          <w:szCs w:val="24"/>
        </w:rPr>
        <w:t xml:space="preserve"> Yet coercive efficiency without safeguards undermines rule-of-law.</w:t>
      </w:r>
      <w:r>
        <w:rPr>
          <w:rStyle w:val="16"/>
          <w:rFonts w:ascii="Times New Roman" w:hAnsi="Times New Roman" w:eastAsia="Times New Roman" w:cs="Times New Roman"/>
          <w:sz w:val="24"/>
          <w:szCs w:val="24"/>
        </w:rPr>
        <w:footnoteReference w:id="51"/>
      </w:r>
      <w:r>
        <w:rPr>
          <w:rFonts w:ascii="Times New Roman" w:hAnsi="Times New Roman" w:eastAsia="Times New Roman" w:cs="Times New Roman"/>
          <w:sz w:val="24"/>
          <w:szCs w:val="24"/>
        </w:rPr>
        <w:t xml:space="preserve"> Thus, utilitarianism must be tempered by legality (positivism) and due process ideals (natural law). It must also be tested against institutional behaviour (realism).</w:t>
      </w:r>
    </w:p>
    <w:p w14:paraId="72109B5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2.2.4 </w:t>
      </w:r>
      <w:r>
        <w:rPr>
          <w:rFonts w:ascii="Times New Roman" w:hAnsi="Times New Roman" w:cs="Times New Roman"/>
          <w:b/>
          <w:bCs/>
          <w:sz w:val="24"/>
          <w:szCs w:val="24"/>
        </w:rPr>
        <w:tab/>
      </w:r>
      <w:r>
        <w:rPr>
          <w:rFonts w:ascii="Times New Roman" w:hAnsi="Times New Roman" w:cs="Times New Roman"/>
          <w:b/>
          <w:bCs/>
          <w:sz w:val="24"/>
          <w:szCs w:val="24"/>
        </w:rPr>
        <w:t>Legal Realism</w:t>
      </w:r>
    </w:p>
    <w:p w14:paraId="081D2BF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Legal realism rejects the fantasy that law is only rules on paper. It emphasises that outcomes depend on:</w:t>
      </w:r>
    </w:p>
    <w:p w14:paraId="3D748002">
      <w:pPr>
        <w:pStyle w:val="27"/>
        <w:numPr>
          <w:ilvl w:val="0"/>
          <w:numId w:val="8"/>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revenue authorities interpret statutes,</w:t>
      </w:r>
    </w:p>
    <w:p w14:paraId="3EEEF548">
      <w:pPr>
        <w:pStyle w:val="27"/>
        <w:numPr>
          <w:ilvl w:val="0"/>
          <w:numId w:val="8"/>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tribunals and courts respond, and</w:t>
      </w:r>
    </w:p>
    <w:p w14:paraId="6AF12CE3">
      <w:pPr>
        <w:pStyle w:val="27"/>
        <w:numPr>
          <w:ilvl w:val="0"/>
          <w:numId w:val="8"/>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taxpayers behave strategically.</w:t>
      </w:r>
    </w:p>
    <w:p w14:paraId="2444729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Holmes formulates the “prediction” conception of law. He asserts that law is a prediction of what courts will do.</w:t>
      </w:r>
      <w:r>
        <w:rPr>
          <w:rStyle w:val="16"/>
          <w:rFonts w:ascii="Times New Roman" w:hAnsi="Times New Roman" w:eastAsia="Times New Roman" w:cs="Times New Roman"/>
          <w:sz w:val="24"/>
          <w:szCs w:val="24"/>
        </w:rPr>
        <w:footnoteReference w:id="52"/>
      </w:r>
      <w:r>
        <w:rPr>
          <w:rFonts w:ascii="Times New Roman" w:hAnsi="Times New Roman" w:eastAsia="Times New Roman" w:cs="Times New Roman"/>
          <w:sz w:val="24"/>
          <w:szCs w:val="24"/>
        </w:rPr>
        <w:t xml:space="preserve"> It captures the realist shift from abstract rules to institutional behaviour. This realist tension is relevant to Nigeria because modern reforms (including NTAA’s anti-avoidance orientation) seek to prevent arrangements whose main purpose is tax advantage contrary to the object of the law. Realism is indispensable in Nigeria because compliance is shaped by administrative capacity and economic structure. Digitisation reforms may be well-designed but fail if: </w:t>
      </w:r>
    </w:p>
    <w:p w14:paraId="7BA97433">
      <w:pPr>
        <w:pStyle w:val="27"/>
        <w:numPr>
          <w:ilvl w:val="0"/>
          <w:numId w:val="9"/>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taxpayer registers are weak,</w:t>
      </w:r>
    </w:p>
    <w:p w14:paraId="71B3B3A8">
      <w:pPr>
        <w:pStyle w:val="27"/>
        <w:numPr>
          <w:ilvl w:val="0"/>
          <w:numId w:val="9"/>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electricity/ICT infrastructure is unreliable, or</w:t>
      </w:r>
    </w:p>
    <w:p w14:paraId="4F103CA6">
      <w:pPr>
        <w:pStyle w:val="27"/>
        <w:numPr>
          <w:ilvl w:val="0"/>
          <w:numId w:val="9"/>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SMEs cannot bear compliance costs.</w:t>
      </w:r>
    </w:p>
    <w:p w14:paraId="3842497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Empirical evidence notes that there is a positive association between digitalisation and revenue performance at subnational levels.</w:t>
      </w:r>
      <w:r>
        <w:rPr>
          <w:rStyle w:val="16"/>
          <w:rFonts w:ascii="Times New Roman" w:hAnsi="Times New Roman" w:eastAsia="Times New Roman" w:cs="Times New Roman"/>
          <w:sz w:val="24"/>
          <w:szCs w:val="24"/>
        </w:rPr>
        <w:footnoteReference w:id="53"/>
      </w:r>
      <w:r>
        <w:rPr>
          <w:rFonts w:ascii="Times New Roman" w:hAnsi="Times New Roman" w:eastAsia="Times New Roman" w:cs="Times New Roman"/>
          <w:sz w:val="24"/>
          <w:szCs w:val="24"/>
        </w:rPr>
        <w:t xml:space="preserve"> However, realism warns against over-generalising from limited contexts. Realism also explains how courts shape tax policy in practice. The Court of Appeal decision in </w:t>
      </w:r>
      <w:r>
        <w:rPr>
          <w:rFonts w:ascii="Times New Roman" w:hAnsi="Times New Roman" w:eastAsia="Times New Roman" w:cs="Times New Roman"/>
          <w:bCs/>
          <w:sz w:val="24"/>
          <w:szCs w:val="24"/>
        </w:rPr>
        <w:t>Vodacom Business Nigeria Ltd v FIRS</w:t>
      </w:r>
      <w:r>
        <w:rPr>
          <w:rStyle w:val="16"/>
          <w:rFonts w:ascii="Times New Roman" w:hAnsi="Times New Roman" w:eastAsia="Times New Roman" w:cs="Times New Roman"/>
          <w:bCs/>
          <w:sz w:val="24"/>
          <w:szCs w:val="24"/>
        </w:rPr>
        <w:footnoteReference w:id="54"/>
      </w:r>
      <w:r>
        <w:rPr>
          <w:rFonts w:ascii="Times New Roman" w:hAnsi="Times New Roman" w:eastAsia="Times New Roman" w:cs="Times New Roman"/>
          <w:sz w:val="24"/>
          <w:szCs w:val="24"/>
        </w:rPr>
        <w:t xml:space="preserve"> (as discussed in professional summaries) upheld VAT applicability on certain services rendered by a non-resident company to a Nigerian company. This reinforces a compliance model where the Nigerian recipient may bear obligations (self-accounting/remittance). Consequently, judicial interpretation determine effective taxation. A functioning appeals system is a realist requirement for legitimacy. If enforcement is strong and review is weak, taxpayers would assume that the system is predatory. Hence, they would respond with evasion or informality. </w:t>
      </w:r>
    </w:p>
    <w:p w14:paraId="780C3333">
      <w:pPr>
        <w:spacing w:line="480" w:lineRule="auto"/>
        <w:jc w:val="both"/>
        <w:rPr>
          <w:rFonts w:ascii="Times New Roman" w:hAnsi="Times New Roman" w:eastAsia="Times New Roman" w:cs="Times New Roman"/>
          <w:sz w:val="24"/>
          <w:szCs w:val="24"/>
        </w:rPr>
      </w:pPr>
    </w:p>
    <w:p w14:paraId="4E9AC6A5">
      <w:pPr>
        <w:spacing w:line="480" w:lineRule="auto"/>
        <w:jc w:val="both"/>
        <w:rPr>
          <w:rFonts w:ascii="Times New Roman" w:hAnsi="Times New Roman" w:eastAsia="Times New Roman" w:cs="Times New Roman"/>
          <w:sz w:val="24"/>
          <w:szCs w:val="24"/>
        </w:rPr>
      </w:pPr>
    </w:p>
    <w:p w14:paraId="205D685C">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14:paraId="61093F63">
      <w:pPr>
        <w:pStyle w:val="2"/>
      </w:pPr>
      <w:bookmarkStart w:id="28" w:name="_Toc233686197"/>
      <w:r>
        <w:t>CHAPTER THREE</w:t>
      </w:r>
      <w:bookmarkEnd w:id="28"/>
    </w:p>
    <w:p w14:paraId="797B8127">
      <w:pPr>
        <w:pStyle w:val="2"/>
      </w:pPr>
      <w:bookmarkStart w:id="29" w:name="_Toc233686198"/>
      <w:r>
        <w:t>LEGISLATIVE AND INSTITUTIONAL FRAMEWORK FOR TAXATION UNDER AHMED TINUBU’S ADMINISTRATION IN NIGERIA</w:t>
      </w:r>
      <w:bookmarkEnd w:id="29"/>
    </w:p>
    <w:p w14:paraId="1442A54D">
      <w:pPr>
        <w:pStyle w:val="3"/>
        <w:rPr>
          <w:kern w:val="36"/>
        </w:rPr>
      </w:pPr>
      <w:bookmarkStart w:id="30" w:name="_Toc233686199"/>
      <w:r>
        <w:rPr>
          <w:kern w:val="36"/>
        </w:rPr>
        <w:t xml:space="preserve">3.1 </w:t>
      </w:r>
      <w:r>
        <w:rPr>
          <w:kern w:val="36"/>
        </w:rPr>
        <w:tab/>
      </w:r>
      <w:r>
        <w:rPr>
          <w:kern w:val="36"/>
        </w:rPr>
        <w:t>Core Legislative Framework for Taxation under Ahmed Tinubu’s Administration in Nigeria</w:t>
      </w:r>
      <w:bookmarkEnd w:id="30"/>
    </w:p>
    <w:p w14:paraId="3EBFC12E">
      <w:pPr>
        <w:spacing w:line="480" w:lineRule="auto"/>
        <w:jc w:val="both"/>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t xml:space="preserve">This section examines the core legislative framework for taxation under Ahmed Tinubu’s Administration in Nigeria. </w:t>
      </w:r>
    </w:p>
    <w:p w14:paraId="74432071">
      <w:pPr>
        <w:pStyle w:val="4"/>
      </w:pPr>
      <w:bookmarkStart w:id="31" w:name="_Toc233686200"/>
      <w:r>
        <w:t xml:space="preserve">3.1.1 </w:t>
      </w:r>
      <w:r>
        <w:tab/>
      </w:r>
      <w:r>
        <w:t>The Constitution of the Federal Republic of Nigeria 1999 (as amended)</w:t>
      </w:r>
      <w:bookmarkEnd w:id="31"/>
    </w:p>
    <w:p w14:paraId="6911A8C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Nigeria, the constitution </w:t>
      </w:r>
      <w:r>
        <w:rPr>
          <w:rFonts w:ascii="Times New Roman" w:hAnsi="Times New Roman" w:eastAsia="Times New Roman" w:cs="Times New Roman"/>
          <w:bCs/>
          <w:sz w:val="24"/>
          <w:szCs w:val="24"/>
        </w:rPr>
        <w:t>allocates legislative competence</w:t>
      </w:r>
      <w:r>
        <w:rPr>
          <w:rFonts w:ascii="Times New Roman" w:hAnsi="Times New Roman" w:eastAsia="Times New Roman" w:cs="Times New Roman"/>
          <w:sz w:val="24"/>
          <w:szCs w:val="24"/>
        </w:rPr>
        <w:t xml:space="preserve"> between the federation and states.</w:t>
      </w:r>
      <w:r>
        <w:rPr>
          <w:rStyle w:val="16"/>
          <w:rFonts w:ascii="Times New Roman" w:hAnsi="Times New Roman" w:eastAsia="Times New Roman" w:cs="Times New Roman"/>
          <w:sz w:val="24"/>
          <w:szCs w:val="24"/>
        </w:rPr>
        <w:footnoteReference w:id="55"/>
      </w:r>
      <w:r>
        <w:rPr>
          <w:rFonts w:ascii="Times New Roman" w:hAnsi="Times New Roman" w:eastAsia="Times New Roman" w:cs="Times New Roman"/>
          <w:sz w:val="24"/>
          <w:szCs w:val="24"/>
        </w:rPr>
        <w:t xml:space="preserve"> In addition, structures </w:t>
      </w:r>
      <w:r>
        <w:rPr>
          <w:rFonts w:ascii="Times New Roman" w:hAnsi="Times New Roman" w:eastAsia="Times New Roman" w:cs="Times New Roman"/>
          <w:bCs/>
          <w:sz w:val="24"/>
          <w:szCs w:val="24"/>
        </w:rPr>
        <w:t>executive authority</w:t>
      </w:r>
      <w:r>
        <w:rPr>
          <w:rFonts w:ascii="Times New Roman" w:hAnsi="Times New Roman" w:eastAsia="Times New Roman" w:cs="Times New Roman"/>
          <w:sz w:val="24"/>
          <w:szCs w:val="24"/>
        </w:rPr>
        <w:t xml:space="preserve"> for revenue administration.</w:t>
      </w:r>
      <w:r>
        <w:rPr>
          <w:rStyle w:val="16"/>
          <w:rFonts w:ascii="Times New Roman" w:hAnsi="Times New Roman" w:eastAsia="Times New Roman" w:cs="Times New Roman"/>
          <w:sz w:val="24"/>
          <w:szCs w:val="24"/>
        </w:rPr>
        <w:footnoteReference w:id="56"/>
      </w:r>
      <w:r>
        <w:rPr>
          <w:rFonts w:ascii="Times New Roman" w:hAnsi="Times New Roman" w:eastAsia="Times New Roman" w:cs="Times New Roman"/>
          <w:sz w:val="24"/>
          <w:szCs w:val="24"/>
        </w:rPr>
        <w:t xml:space="preserve"> In addition, it defines </w:t>
      </w:r>
      <w:r>
        <w:rPr>
          <w:rFonts w:ascii="Times New Roman" w:hAnsi="Times New Roman" w:eastAsia="Times New Roman" w:cs="Times New Roman"/>
          <w:bCs/>
          <w:sz w:val="24"/>
          <w:szCs w:val="24"/>
        </w:rPr>
        <w:t>judicial competence</w:t>
      </w:r>
      <w:r>
        <w:rPr>
          <w:rFonts w:ascii="Times New Roman" w:hAnsi="Times New Roman" w:eastAsia="Times New Roman" w:cs="Times New Roman"/>
          <w:sz w:val="24"/>
          <w:szCs w:val="24"/>
        </w:rPr>
        <w:t xml:space="preserve"> for tax disputes (including the Federal High Court’s jurisdiction).</w:t>
      </w:r>
      <w:r>
        <w:rPr>
          <w:rStyle w:val="16"/>
          <w:rFonts w:ascii="Times New Roman" w:hAnsi="Times New Roman" w:eastAsia="Times New Roman" w:cs="Times New Roman"/>
          <w:sz w:val="24"/>
          <w:szCs w:val="24"/>
        </w:rPr>
        <w:footnoteReference w:id="57"/>
      </w:r>
      <w:r>
        <w:rPr>
          <w:rFonts w:ascii="Times New Roman" w:hAnsi="Times New Roman" w:eastAsia="Times New Roman" w:cs="Times New Roman"/>
          <w:sz w:val="24"/>
          <w:szCs w:val="24"/>
        </w:rPr>
        <w:t xml:space="preserve"> Tax reforms that ignore constitutional limits will trigger compliance resistance or be implemented through unconstitutional “workarounds.” The Constitution therefore frames the Tinubu reforms in three decisive ways: legislative power, revenue allocation, and adjudicatory control.</w:t>
      </w:r>
    </w:p>
    <w:p w14:paraId="78E5B6BD">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Legislative Power</w:t>
      </w:r>
    </w:p>
    <w:p w14:paraId="4CF5D2C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The constitution provides for exclusive legislative list and federal pre-eminence over key tax bases. </w:t>
      </w:r>
      <w:r>
        <w:rPr>
          <w:rFonts w:ascii="Times New Roman" w:hAnsi="Times New Roman" w:eastAsia="Times New Roman" w:cs="Times New Roman"/>
          <w:sz w:val="24"/>
          <w:szCs w:val="24"/>
        </w:rPr>
        <w:t xml:space="preserve">A key constitutional anchor is the </w:t>
      </w:r>
      <w:r>
        <w:rPr>
          <w:rFonts w:ascii="Times New Roman" w:hAnsi="Times New Roman" w:eastAsia="Times New Roman" w:cs="Times New Roman"/>
          <w:bCs/>
          <w:sz w:val="24"/>
          <w:szCs w:val="24"/>
        </w:rPr>
        <w:t>Second Schedule (Exclusive Legislative List)</w:t>
      </w:r>
      <w:r>
        <w:rPr>
          <w:rFonts w:ascii="Times New Roman" w:hAnsi="Times New Roman" w:eastAsia="Times New Roman" w:cs="Times New Roman"/>
          <w:sz w:val="24"/>
          <w:szCs w:val="24"/>
        </w:rPr>
        <w:t xml:space="preserve">. Two entries are especially relevant: </w:t>
      </w:r>
      <w:r>
        <w:rPr>
          <w:rFonts w:ascii="Times New Roman" w:hAnsi="Times New Roman" w:eastAsia="Times New Roman" w:cs="Times New Roman"/>
          <w:bCs/>
          <w:sz w:val="24"/>
          <w:szCs w:val="24"/>
        </w:rPr>
        <w:t>Item 58</w:t>
      </w:r>
      <w:r>
        <w:rPr>
          <w:rFonts w:ascii="Times New Roman" w:hAnsi="Times New Roman" w:eastAsia="Times New Roman" w:cs="Times New Roman"/>
          <w:sz w:val="24"/>
          <w:szCs w:val="24"/>
        </w:rPr>
        <w:t xml:space="preserve">: stamp duties; and </w:t>
      </w:r>
      <w:r>
        <w:rPr>
          <w:rFonts w:ascii="Times New Roman" w:hAnsi="Times New Roman" w:eastAsia="Times New Roman" w:cs="Times New Roman"/>
          <w:bCs/>
          <w:sz w:val="24"/>
          <w:szCs w:val="24"/>
        </w:rPr>
        <w:t>Item 59</w:t>
      </w:r>
      <w:r>
        <w:rPr>
          <w:rFonts w:ascii="Times New Roman" w:hAnsi="Times New Roman" w:eastAsia="Times New Roman" w:cs="Times New Roman"/>
          <w:sz w:val="24"/>
          <w:szCs w:val="24"/>
        </w:rPr>
        <w:t>: taxation of incomes, profits and capital gains (subject to constitutional exceptions). To that effect, the National Assembly has dominant competence over the main “core” tax bases that generate high revenue. On the other hand, states must operate within the boundaries of that allocation. This is why VAT/consumption-tax disputes and “multiple taxation” complaints arise. States pursue internally generated revenue. However, federal statutes may “cover the field.”</w:t>
      </w:r>
    </w:p>
    <w:p w14:paraId="06C6BC8E">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Revenue Sharing </w:t>
      </w:r>
    </w:p>
    <w:p w14:paraId="2BF7DB4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constitution establishes the framework through which federally collected revenue is paid into and shared from the Federation Account</w:t>
      </w:r>
      <w:r>
        <w:rPr>
          <w:rStyle w:val="16"/>
          <w:rFonts w:ascii="Times New Roman" w:hAnsi="Times New Roman" w:eastAsia="Times New Roman" w:cs="Times New Roman"/>
          <w:sz w:val="24"/>
          <w:szCs w:val="24"/>
        </w:rPr>
        <w:footnoteReference w:id="58"/>
      </w:r>
      <w:r>
        <w:rPr>
          <w:rFonts w:ascii="Times New Roman" w:hAnsi="Times New Roman" w:eastAsia="Times New Roman" w:cs="Times New Roman"/>
          <w:sz w:val="24"/>
          <w:szCs w:val="24"/>
        </w:rPr>
        <w:t xml:space="preserve"> (commonly discussed around). This revenue-sharing structure intensifies political contestation around taxes like VAT because states may perceive that they bear social and infrastructural burdens without proportionate fiscal returns.</w:t>
      </w:r>
      <w:r>
        <w:rPr>
          <w:rStyle w:val="16"/>
          <w:rFonts w:ascii="Times New Roman" w:hAnsi="Times New Roman" w:eastAsia="Times New Roman" w:cs="Times New Roman"/>
          <w:sz w:val="24"/>
          <w:szCs w:val="24"/>
        </w:rPr>
        <w:footnoteReference w:id="59"/>
      </w:r>
    </w:p>
    <w:p w14:paraId="06683D04">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Adjudicatory Control</w:t>
      </w:r>
    </w:p>
    <w:p w14:paraId="2C99991B">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Indeed, taxation is coercive. However, the Constitution embeds safeguards. The state cannot turn tax enforcement into arbitrary deprivation. The fundamental rights framework (including fair hearing</w:t>
      </w:r>
      <w:r>
        <w:rPr>
          <w:rStyle w:val="16"/>
          <w:rFonts w:ascii="Times New Roman" w:hAnsi="Times New Roman" w:eastAsia="Times New Roman" w:cs="Times New Roman"/>
          <w:sz w:val="24"/>
          <w:szCs w:val="24"/>
        </w:rPr>
        <w:footnoteReference w:id="60"/>
      </w:r>
      <w:r>
        <w:rPr>
          <w:rFonts w:ascii="Times New Roman" w:hAnsi="Times New Roman" w:eastAsia="Times New Roman" w:cs="Times New Roman"/>
          <w:sz w:val="24"/>
          <w:szCs w:val="24"/>
        </w:rPr>
        <w:t xml:space="preserve"> and right to own property</w:t>
      </w:r>
      <w:r>
        <w:rPr>
          <w:rStyle w:val="16"/>
          <w:rFonts w:ascii="Times New Roman" w:hAnsi="Times New Roman" w:eastAsia="Times New Roman" w:cs="Times New Roman"/>
          <w:sz w:val="24"/>
          <w:szCs w:val="24"/>
        </w:rPr>
        <w:footnoteReference w:id="61"/>
      </w:r>
      <w:r>
        <w:rPr>
          <w:rFonts w:ascii="Times New Roman" w:hAnsi="Times New Roman" w:eastAsia="Times New Roman" w:cs="Times New Roman"/>
          <w:sz w:val="24"/>
          <w:szCs w:val="24"/>
        </w:rPr>
        <w:t>) constrains tax recovery mechanisms because it requires lawful procedure and proportionate action. This becomes important under controversies of this tax reform where there have been allegations of “excessive” enforcement powers. It was alleged (from opposition lawmakers) that the gazetted text could permit asset seizure without court orders and impose deposits before dispute hearings.</w:t>
      </w:r>
      <w:r>
        <w:rPr>
          <w:rStyle w:val="16"/>
          <w:rFonts w:ascii="Times New Roman" w:hAnsi="Times New Roman" w:eastAsia="Times New Roman" w:cs="Times New Roman"/>
          <w:sz w:val="24"/>
          <w:szCs w:val="24"/>
        </w:rPr>
        <w:footnoteReference w:id="62"/>
      </w:r>
      <w:r>
        <w:rPr>
          <w:rFonts w:ascii="Times New Roman" w:hAnsi="Times New Roman" w:eastAsia="Times New Roman" w:cs="Times New Roman"/>
          <w:sz w:val="24"/>
          <w:szCs w:val="24"/>
        </w:rPr>
        <w:t xml:space="preserve"> Constitutional safeguards require that enforcement remains reviewable, and non-arbitrary. </w:t>
      </w:r>
    </w:p>
    <w:p w14:paraId="5BCFCC73">
      <w:pPr>
        <w:spacing w:line="480" w:lineRule="auto"/>
        <w:jc w:val="both"/>
        <w:rPr>
          <w:rFonts w:ascii="Times New Roman" w:hAnsi="Times New Roman" w:eastAsia="Times New Roman" w:cs="Times New Roman"/>
          <w:sz w:val="24"/>
          <w:szCs w:val="24"/>
        </w:rPr>
      </w:pPr>
    </w:p>
    <w:p w14:paraId="0F9CBAF0">
      <w:pPr>
        <w:spacing w:line="480" w:lineRule="auto"/>
        <w:jc w:val="both"/>
        <w:rPr>
          <w:rFonts w:ascii="Times New Roman" w:hAnsi="Times New Roman" w:eastAsia="Times New Roman" w:cs="Times New Roman"/>
          <w:sz w:val="24"/>
          <w:szCs w:val="24"/>
        </w:rPr>
      </w:pPr>
    </w:p>
    <w:p w14:paraId="2ED60220">
      <w:pPr>
        <w:pStyle w:val="4"/>
      </w:pPr>
      <w:bookmarkStart w:id="32" w:name="_Toc233686201"/>
      <w:r>
        <w:t xml:space="preserve">3.1.2 </w:t>
      </w:r>
      <w:r>
        <w:tab/>
      </w:r>
      <w:r>
        <w:t>Nigeria Tax Act (2025)</w:t>
      </w:r>
      <w:bookmarkEnd w:id="32"/>
    </w:p>
    <w:p w14:paraId="42942EB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w:t>
      </w:r>
      <w:r>
        <w:rPr>
          <w:rFonts w:ascii="Times New Roman" w:hAnsi="Times New Roman" w:eastAsia="Times New Roman" w:cs="Times New Roman"/>
          <w:bCs/>
          <w:sz w:val="24"/>
          <w:szCs w:val="24"/>
        </w:rPr>
        <w:t>Nigeria Tax Act 2025 (NTA)</w:t>
      </w:r>
      <w:r>
        <w:rPr>
          <w:rFonts w:ascii="Times New Roman" w:hAnsi="Times New Roman" w:eastAsia="Times New Roman" w:cs="Times New Roman"/>
          <w:sz w:val="24"/>
          <w:szCs w:val="24"/>
        </w:rPr>
        <w:t xml:space="preserve"> is the flagship “substantive” statute of the Tinubu tax reset. It consolidates major tax rules into a unified Act</w:t>
      </w:r>
      <w:r>
        <w:rPr>
          <w:rStyle w:val="16"/>
          <w:rFonts w:ascii="Times New Roman" w:hAnsi="Times New Roman" w:eastAsia="Times New Roman" w:cs="Times New Roman"/>
          <w:sz w:val="24"/>
          <w:szCs w:val="24"/>
        </w:rPr>
        <w:footnoteReference w:id="63"/>
      </w:r>
      <w:r>
        <w:rPr>
          <w:rFonts w:ascii="Times New Roman" w:hAnsi="Times New Roman" w:eastAsia="Times New Roman" w:cs="Times New Roman"/>
          <w:sz w:val="24"/>
          <w:szCs w:val="24"/>
        </w:rPr>
        <w:t xml:space="preserve"> and was signed on 26 June 2025, with commencement set for </w:t>
      </w:r>
      <w:r>
        <w:rPr>
          <w:rFonts w:ascii="Times New Roman" w:hAnsi="Times New Roman" w:eastAsia="Times New Roman" w:cs="Times New Roman"/>
          <w:bCs/>
          <w:sz w:val="24"/>
          <w:szCs w:val="24"/>
        </w:rPr>
        <w:t>1 January 2026</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64"/>
      </w:r>
      <w:r>
        <w:rPr>
          <w:rFonts w:ascii="Times New Roman" w:hAnsi="Times New Roman" w:eastAsia="Times New Roman" w:cs="Times New Roman"/>
          <w:sz w:val="24"/>
          <w:szCs w:val="24"/>
        </w:rPr>
        <w:t xml:space="preserve"> It folded scattered charging provisions across multiple laws into a single modern code. Hence, the NTA aims to reduce fragmentation and improve clarity. However, consolidation is never clarity automatically. Key provision include the following. Section 3 imposes income tax on the profits or gains of any company or enterprise, the income of any individual or family, and the income arising to a trustee or estate. Section 4(1)(j) is important because it expressly includes profits or gains from transactions in digital or virtual assets.  Section 17 charges to tax the income, profits, or gains of a non-resident person accruing in or derived from Nigeria, including certain gains from disposal of chargeable assets and payments connected to Nigeria. Section 56 sets the company tax rate at 0% for a small company and 30% for any other company. The definition of small company appears in the interpretation section as a company with gross turnover of ₦50 million or less and fixed assets not exceeding ₦250 million, excluding professional-service businesses.</w:t>
      </w:r>
    </w:p>
    <w:p w14:paraId="2EC822C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consolidated Act may also produce transitional ambiguity. It becomes difficult to determine what happens to existing regulations and pending disputes. More so, taxpayers will exploit uncertainty. In turn, authorities may respond with aggressive guidance. Substantive directions under the NTA include the following. It brought capital gains within personal income tax rates (instead of a flat legacy CGT approach). In addition, gains from digital/virtual assets become taxable, with specified exemptions (for example, private residences and limited personal chattels/vehicles).</w:t>
      </w:r>
      <w:r>
        <w:rPr>
          <w:rStyle w:val="16"/>
          <w:rFonts w:ascii="Times New Roman" w:hAnsi="Times New Roman" w:eastAsia="Times New Roman" w:cs="Times New Roman"/>
          <w:sz w:val="24"/>
          <w:szCs w:val="24"/>
        </w:rPr>
        <w:footnoteReference w:id="65"/>
      </w:r>
    </w:p>
    <w:p w14:paraId="610B38C3">
      <w:pPr>
        <w:pStyle w:val="4"/>
      </w:pPr>
      <w:bookmarkStart w:id="33" w:name="_Toc233686202"/>
      <w:r>
        <w:t xml:space="preserve">3.1.3 </w:t>
      </w:r>
      <w:r>
        <w:tab/>
      </w:r>
      <w:r>
        <w:t>Nigeria Tax Administration Act (2025)</w:t>
      </w:r>
      <w:bookmarkEnd w:id="33"/>
    </w:p>
    <w:p w14:paraId="65942B48">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the NTA is the “what is taxed” statute, the </w:t>
      </w:r>
      <w:r>
        <w:rPr>
          <w:rFonts w:ascii="Times New Roman" w:hAnsi="Times New Roman" w:eastAsia="Times New Roman" w:cs="Times New Roman"/>
          <w:bCs/>
          <w:sz w:val="24"/>
          <w:szCs w:val="24"/>
        </w:rPr>
        <w:t>Nigeria Tax Administration Act 2025 (NTAA)</w:t>
      </w:r>
      <w:r>
        <w:rPr>
          <w:rFonts w:ascii="Times New Roman" w:hAnsi="Times New Roman" w:eastAsia="Times New Roman" w:cs="Times New Roman"/>
          <w:sz w:val="24"/>
          <w:szCs w:val="24"/>
        </w:rPr>
        <w:t xml:space="preserve"> is the “how tax power is exercised” statute. This act provides a </w:t>
      </w:r>
      <w:r>
        <w:rPr>
          <w:rFonts w:ascii="Times New Roman" w:hAnsi="Times New Roman" w:eastAsia="Times New Roman" w:cs="Times New Roman"/>
          <w:bCs/>
          <w:sz w:val="24"/>
          <w:szCs w:val="24"/>
        </w:rPr>
        <w:t>uniform procedure</w:t>
      </w:r>
      <w:r>
        <w:rPr>
          <w:rFonts w:ascii="Times New Roman" w:hAnsi="Times New Roman" w:eastAsia="Times New Roman" w:cs="Times New Roman"/>
          <w:sz w:val="24"/>
          <w:szCs w:val="24"/>
        </w:rPr>
        <w:t xml:space="preserve"> for consistent and efficient administration of tax laws to facilitate compliance and optimise revenue.</w:t>
      </w:r>
      <w:r>
        <w:rPr>
          <w:rStyle w:val="16"/>
          <w:rFonts w:ascii="Times New Roman" w:hAnsi="Times New Roman" w:eastAsia="Times New Roman" w:cs="Times New Roman"/>
          <w:sz w:val="24"/>
          <w:szCs w:val="24"/>
        </w:rPr>
        <w:footnoteReference w:id="66"/>
      </w:r>
      <w:r>
        <w:rPr>
          <w:rFonts w:ascii="Times New Roman" w:hAnsi="Times New Roman" w:eastAsia="Times New Roman" w:cs="Times New Roman"/>
          <w:sz w:val="24"/>
          <w:szCs w:val="24"/>
        </w:rPr>
        <w:t xml:space="preserve"> Key provisions include the following. Section 3 allocates tax-administration powers between the federal and subnational authorities. It gives the relevant federal tax authority power over matters such as income tax, stamp duties, tax incentives, and other taxes within federal competence.</w:t>
      </w:r>
      <w:r>
        <w:rPr>
          <w:rStyle w:val="16"/>
          <w:rFonts w:ascii="Times New Roman" w:hAnsi="Times New Roman" w:eastAsia="Times New Roman" w:cs="Times New Roman"/>
          <w:sz w:val="24"/>
          <w:szCs w:val="24"/>
        </w:rPr>
        <w:footnoteReference w:id="67"/>
      </w:r>
      <w:r>
        <w:rPr>
          <w:rFonts w:ascii="Times New Roman" w:hAnsi="Times New Roman" w:eastAsia="Times New Roman" w:cs="Times New Roman"/>
          <w:sz w:val="24"/>
          <w:szCs w:val="24"/>
        </w:rPr>
        <w:t xml:space="preserve"> On the other hand, state and FCT tax authorities administer taxes assigned to them under the Schedule. Section 4 requires every taxable person to register with the relevant tax authority and obtain a Taxpayer Identification Number (Tax ID). The Act imposes filing duties on taxpayers, and section 22(1) specifically provides that for value added tax, a taxable person must file returns on or before the 21st day of the following month, whether or not economic activity occurred. Section 22(2) adds that an extension to file does not extend the time to pay. Section 65(1) is one of the most important enforcement provisions. Where tax is unpaid within the prescribed period, it imposes a 10% penalty, plus interest. For naira liabilities, the prevailing CBN monetary policy rate plus a spread determined by the Minister. For foreign-currency remittances, SOFR or successor rate plus 10% or other ministerial spread. Section 65(2) then authorises the relevant tax authority to serve a demand notice and proceed to enforce payment if payment is not made within 30 days. Section 71(1) allows a relevant tax authority to deploy technology to automate tax administration processes.</w:t>
      </w:r>
    </w:p>
    <w:p w14:paraId="0CA44472">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Most times, harm from comes not from the tax rate but from the administrative pathway. A unified administrative statute reduces chaos. However, it also centralise discretion. The rule-of-law test is whether the NTAA strengthens due process or amplifies coercion.  The Act frames taxpayer registration and compliance duties</w:t>
      </w:r>
      <w:r>
        <w:rPr>
          <w:rStyle w:val="16"/>
          <w:rFonts w:ascii="Times New Roman" w:hAnsi="Times New Roman" w:eastAsia="Times New Roman" w:cs="Times New Roman"/>
          <w:sz w:val="24"/>
          <w:szCs w:val="24"/>
        </w:rPr>
        <w:footnoteReference w:id="68"/>
      </w:r>
      <w:r>
        <w:rPr>
          <w:rFonts w:ascii="Times New Roman" w:hAnsi="Times New Roman" w:eastAsia="Times New Roman" w:cs="Times New Roman"/>
          <w:sz w:val="24"/>
          <w:szCs w:val="24"/>
        </w:rPr>
        <w:t xml:space="preserve"> and it grants powers to tax authorities to obtain information and conduct audits.</w:t>
      </w:r>
      <w:r>
        <w:rPr>
          <w:rStyle w:val="16"/>
          <w:rFonts w:ascii="Times New Roman" w:hAnsi="Times New Roman" w:eastAsia="Times New Roman" w:cs="Times New Roman"/>
          <w:sz w:val="24"/>
          <w:szCs w:val="24"/>
        </w:rPr>
        <w:footnoteReference w:id="69"/>
      </w:r>
      <w:r>
        <w:rPr>
          <w:rFonts w:ascii="Times New Roman" w:hAnsi="Times New Roman" w:eastAsia="Times New Roman" w:cs="Times New Roman"/>
          <w:sz w:val="24"/>
          <w:szCs w:val="24"/>
        </w:rPr>
        <w:t xml:space="preserve"> In addition, it provides for assessment processes and timelines.</w:t>
      </w:r>
      <w:r>
        <w:rPr>
          <w:rStyle w:val="16"/>
          <w:rFonts w:ascii="Times New Roman" w:hAnsi="Times New Roman" w:eastAsia="Times New Roman" w:cs="Times New Roman"/>
          <w:sz w:val="24"/>
          <w:szCs w:val="24"/>
        </w:rPr>
        <w:footnoteReference w:id="70"/>
      </w:r>
      <w:r>
        <w:rPr>
          <w:rFonts w:ascii="Times New Roman" w:hAnsi="Times New Roman" w:eastAsia="Times New Roman" w:cs="Times New Roman"/>
          <w:sz w:val="24"/>
          <w:szCs w:val="24"/>
        </w:rPr>
        <w:t xml:space="preserve"> Going further, it stipulates penalties/offences framework and dispute mechanisms (objections/appeals). </w:t>
      </w:r>
      <w:r>
        <w:rPr>
          <w:rFonts w:ascii="Times New Roman" w:hAnsi="Times New Roman" w:eastAsia="Times New Roman" w:cs="Times New Roman"/>
          <w:bCs/>
          <w:sz w:val="24"/>
          <w:szCs w:val="24"/>
        </w:rPr>
        <w:t>Indeed</w:t>
      </w:r>
      <w:r>
        <w:rPr>
          <w:rFonts w:ascii="Times New Roman" w:hAnsi="Times New Roman" w:eastAsia="Times New Roman" w:cs="Times New Roman"/>
          <w:sz w:val="24"/>
          <w:szCs w:val="24"/>
        </w:rPr>
        <w:t xml:space="preserve"> “Uniform procedure” is valuable only if it reduces discretion and improves predictability. Where procedures are drafted broadly (for example, sweeping information powers or recovery mechanisms), taxpayers may argue that administrative action becomes punitive (not fiscal). </w:t>
      </w:r>
    </w:p>
    <w:p w14:paraId="025BE7F6">
      <w:pPr>
        <w:pStyle w:val="4"/>
      </w:pPr>
      <w:bookmarkStart w:id="34" w:name="_Toc233686203"/>
      <w:r>
        <w:t xml:space="preserve">3.1.4 </w:t>
      </w:r>
      <w:r>
        <w:tab/>
      </w:r>
      <w:r>
        <w:t>Nigeria Revenue Service Act (2025)</w:t>
      </w:r>
      <w:bookmarkEnd w:id="34"/>
    </w:p>
    <w:p w14:paraId="18D9213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w:t>
      </w:r>
      <w:r>
        <w:rPr>
          <w:rFonts w:ascii="Times New Roman" w:hAnsi="Times New Roman" w:eastAsia="Times New Roman" w:cs="Times New Roman"/>
          <w:bCs/>
          <w:sz w:val="24"/>
          <w:szCs w:val="24"/>
        </w:rPr>
        <w:t>Nigeria Revenue Service Act 2025</w:t>
      </w:r>
      <w:r>
        <w:rPr>
          <w:rFonts w:ascii="Times New Roman" w:hAnsi="Times New Roman" w:eastAsia="Times New Roman" w:cs="Times New Roman"/>
          <w:sz w:val="24"/>
          <w:szCs w:val="24"/>
        </w:rPr>
        <w:t xml:space="preserve"> is an establishment statute. It rebrands/reconstitutes the former </w:t>
      </w:r>
      <w:r>
        <w:rPr>
          <w:rFonts w:ascii="Times New Roman" w:hAnsi="Times New Roman" w:eastAsia="Times New Roman" w:cs="Times New Roman"/>
          <w:bCs/>
          <w:sz w:val="24"/>
          <w:szCs w:val="24"/>
        </w:rPr>
        <w:t>Federal Inland Revenue Service</w:t>
      </w:r>
      <w:r>
        <w:rPr>
          <w:rFonts w:ascii="Times New Roman" w:hAnsi="Times New Roman" w:eastAsia="Times New Roman" w:cs="Times New Roman"/>
          <w:sz w:val="24"/>
          <w:szCs w:val="24"/>
        </w:rPr>
        <w:t xml:space="preserve"> into the </w:t>
      </w:r>
      <w:r>
        <w:rPr>
          <w:rFonts w:ascii="Times New Roman" w:hAnsi="Times New Roman" w:eastAsia="Times New Roman" w:cs="Times New Roman"/>
          <w:bCs/>
          <w:sz w:val="24"/>
          <w:szCs w:val="24"/>
        </w:rPr>
        <w:t xml:space="preserve">Nigeria Revenue Service (NRS). </w:t>
      </w:r>
      <w:r>
        <w:rPr>
          <w:rFonts w:ascii="Times New Roman" w:hAnsi="Times New Roman" w:eastAsia="Times New Roman" w:cs="Times New Roman"/>
          <w:sz w:val="24"/>
          <w:szCs w:val="24"/>
        </w:rPr>
        <w:t>This is the central federal revenue authority for assessing, collecting and accounting for federal revenue. Key provisions include the following. Section 3 establishes the NRS and it stipulates the objective of the institution. This includes tax compliance, revenue generation and streamlined administration in order to minimise leakages.</w:t>
      </w:r>
      <w:r>
        <w:rPr>
          <w:rStyle w:val="16"/>
          <w:rFonts w:ascii="Times New Roman" w:hAnsi="Times New Roman" w:eastAsia="Times New Roman" w:cs="Times New Roman"/>
          <w:sz w:val="24"/>
          <w:szCs w:val="24"/>
        </w:rPr>
        <w:footnoteReference w:id="71"/>
      </w:r>
      <w:r>
        <w:rPr>
          <w:rFonts w:ascii="Times New Roman" w:hAnsi="Times New Roman" w:eastAsia="Times New Roman" w:cs="Times New Roman"/>
          <w:sz w:val="24"/>
          <w:szCs w:val="24"/>
        </w:rPr>
        <w:t xml:space="preserve"> Section 4 stipulates the function of the service. Some of the core functions include the following. It assess persons chargeable with tax and it collect or recover tax and enforce payment. In addition, it administer all revenue accruing to the Government and review tax regimes with relevant ministries and agencies, among others.  Section 5(1)–(3) allows the Service, on request, to assist a state, the FCT, or a local government in collecting or administering a tax that such authority has the statutory right to collect. </w:t>
      </w:r>
      <w:r>
        <w:rPr>
          <w:rFonts w:ascii="Times New Roman" w:hAnsi="Times New Roman" w:eastAsia="Times New Roman" w:cs="Times New Roman"/>
          <w:bCs/>
          <w:sz w:val="24"/>
          <w:szCs w:val="24"/>
        </w:rPr>
        <w:t xml:space="preserve">Critically, </w:t>
      </w:r>
      <w:r>
        <w:rPr>
          <w:rFonts w:ascii="Times New Roman" w:hAnsi="Times New Roman" w:eastAsia="Times New Roman" w:cs="Times New Roman"/>
          <w:sz w:val="24"/>
          <w:szCs w:val="24"/>
        </w:rPr>
        <w:t xml:space="preserve">Re-branding is not reform unless governance changes follow. The legal question is whether the Act recalibrates accountability, transparency, and restraint, or simply expands enforcement machinery. Indeed, compliance may deteriorate if taxpayers perceive NRS as a collector without procedure. </w:t>
      </w:r>
    </w:p>
    <w:p w14:paraId="4A536566">
      <w:pPr>
        <w:pStyle w:val="4"/>
      </w:pPr>
      <w:bookmarkStart w:id="35" w:name="_Toc233686204"/>
      <w:r>
        <w:t>3.1.5</w:t>
      </w:r>
      <w:r>
        <w:tab/>
      </w:r>
      <w:r>
        <w:t>Joint Revenue Board Act (2025)</w:t>
      </w:r>
      <w:bookmarkEnd w:id="35"/>
    </w:p>
    <w:p w14:paraId="119C6DE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objective of the Tinubu reforms is to reduce fragmentation and multiplicity because it strengthens coordination. The </w:t>
      </w:r>
      <w:r>
        <w:rPr>
          <w:rFonts w:ascii="Times New Roman" w:hAnsi="Times New Roman" w:eastAsia="Times New Roman" w:cs="Times New Roman"/>
          <w:bCs/>
          <w:sz w:val="24"/>
          <w:szCs w:val="24"/>
        </w:rPr>
        <w:t>Joint Revenue Board Establishment Act 2025</w:t>
      </w:r>
      <w:r>
        <w:rPr>
          <w:rFonts w:ascii="Times New Roman" w:hAnsi="Times New Roman" w:eastAsia="Times New Roman" w:cs="Times New Roman"/>
          <w:sz w:val="24"/>
          <w:szCs w:val="24"/>
        </w:rPr>
        <w:t xml:space="preserve"> provides for: the </w:t>
      </w:r>
      <w:r>
        <w:rPr>
          <w:rFonts w:ascii="Times New Roman" w:hAnsi="Times New Roman" w:eastAsia="Times New Roman" w:cs="Times New Roman"/>
          <w:bCs/>
          <w:sz w:val="24"/>
          <w:szCs w:val="24"/>
        </w:rPr>
        <w:t>Joint Revenue Board</w:t>
      </w:r>
      <w:r>
        <w:rPr>
          <w:rFonts w:ascii="Times New Roman" w:hAnsi="Times New Roman" w:eastAsia="Times New Roman" w:cs="Times New Roman"/>
          <w:sz w:val="24"/>
          <w:szCs w:val="24"/>
        </w:rPr>
        <w:t xml:space="preserve"> itself;</w:t>
      </w:r>
      <w:r>
        <w:rPr>
          <w:rStyle w:val="16"/>
          <w:rFonts w:ascii="Times New Roman" w:hAnsi="Times New Roman" w:eastAsia="Times New Roman" w:cs="Times New Roman"/>
          <w:sz w:val="24"/>
          <w:szCs w:val="24"/>
        </w:rPr>
        <w:footnoteReference w:id="72"/>
      </w:r>
      <w:r>
        <w:rPr>
          <w:rFonts w:ascii="Times New Roman" w:hAnsi="Times New Roman" w:eastAsia="Times New Roman" w:cs="Times New Roman"/>
          <w:sz w:val="24"/>
          <w:szCs w:val="24"/>
        </w:rPr>
        <w:t xml:space="preserve"> the </w:t>
      </w:r>
      <w:r>
        <w:rPr>
          <w:rFonts w:ascii="Times New Roman" w:hAnsi="Times New Roman" w:eastAsia="Times New Roman" w:cs="Times New Roman"/>
          <w:bCs/>
          <w:sz w:val="24"/>
          <w:szCs w:val="24"/>
        </w:rPr>
        <w:t>Tax Appeal Tribunal</w:t>
      </w:r>
      <w:r>
        <w:rPr>
          <w:rFonts w:ascii="Times New Roman" w:hAnsi="Times New Roman" w:eastAsia="Times New Roman" w:cs="Times New Roman"/>
          <w:sz w:val="24"/>
          <w:szCs w:val="24"/>
        </w:rPr>
        <w:t xml:space="preserve">; as well as the </w:t>
      </w:r>
      <w:r>
        <w:rPr>
          <w:rFonts w:ascii="Times New Roman" w:hAnsi="Times New Roman" w:eastAsia="Times New Roman" w:cs="Times New Roman"/>
          <w:bCs/>
          <w:sz w:val="24"/>
          <w:szCs w:val="24"/>
        </w:rPr>
        <w:t>Office of the Tax Ombud</w:t>
      </w:r>
      <w:r>
        <w:rPr>
          <w:rFonts w:ascii="Times New Roman" w:hAnsi="Times New Roman" w:eastAsia="Times New Roman" w:cs="Times New Roman"/>
          <w:sz w:val="24"/>
          <w:szCs w:val="24"/>
        </w:rPr>
        <w:t>. JRB is a coordinating body across federal, state and local revenue authorities. It coordinates and shares data across the three levels of government.</w:t>
      </w:r>
      <w:r>
        <w:rPr>
          <w:rStyle w:val="16"/>
          <w:rFonts w:ascii="Times New Roman" w:hAnsi="Times New Roman" w:eastAsia="Times New Roman" w:cs="Times New Roman"/>
          <w:sz w:val="24"/>
          <w:szCs w:val="24"/>
        </w:rPr>
        <w:footnoteReference w:id="73"/>
      </w:r>
      <w:r>
        <w:rPr>
          <w:rFonts w:ascii="Times New Roman" w:hAnsi="Times New Roman" w:eastAsia="Times New Roman" w:cs="Times New Roman"/>
          <w:sz w:val="24"/>
          <w:szCs w:val="24"/>
        </w:rPr>
        <w:t xml:space="preserve"> Coordination is not neutral. It either harmonises or become a tool for central dominance. The constitutional test is whether it respects the autonomy and competence of states as it reduces unlawful overlaps. Hence, litigation and political resistance would arise when the board harmonises rates or practices outside constitutional limits. </w:t>
      </w:r>
    </w:p>
    <w:p w14:paraId="03085F9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Section 4(1) of this act is very important. It makes the Executive Chairman of the Nigeria Revenue Service the Chairman of the Board, includes the Chairman of each State Internal Revenue Service and the FCT Internal Revenue Service, and adds ex officio representation from the Finance Ministry, NIMC, RMAFC, Immigration, FRSC, Customs, and Nigeria Revenue Service.</w:t>
      </w:r>
      <w:r>
        <w:rPr>
          <w:rStyle w:val="16"/>
          <w:rFonts w:ascii="Times New Roman" w:hAnsi="Times New Roman" w:eastAsia="Times New Roman" w:cs="Times New Roman"/>
          <w:sz w:val="24"/>
          <w:szCs w:val="24"/>
        </w:rPr>
        <w:footnoteReference w:id="74"/>
      </w:r>
      <w:r>
        <w:rPr>
          <w:rFonts w:ascii="Times New Roman" w:hAnsi="Times New Roman" w:eastAsia="Times New Roman" w:cs="Times New Roman"/>
          <w:sz w:val="24"/>
          <w:szCs w:val="24"/>
        </w:rPr>
        <w:t xml:space="preserve"> Section 23 establishes the Tax Appeal Tribunal. Section 29 gives it jurisdiction over disputes arising from revenue administration. In addition, under the Second Schedule, paragraph 2(1)–(4), a taxable person aggrieved by an assessment, demand notice, action, decision of the tax authority, or a residency dispute may appeal to the Tribunal, generally within 30 days, and if no appeal is filed in time, the assessment may become final and conclusive.</w:t>
      </w:r>
    </w:p>
    <w:p w14:paraId="691D5DA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Going Further, Section 36 establishes the Office of the Tax Ombud. The Tax Ombud </w:t>
      </w:r>
      <w:r>
        <w:rPr>
          <w:rFonts w:ascii="Times New Roman" w:hAnsi="Times New Roman" w:eastAsia="Times New Roman" w:cs="Times New Roman"/>
          <w:sz w:val="24"/>
          <w:szCs w:val="24"/>
        </w:rPr>
        <w:t>is an independent arbiter to review and resolve taxpayer complaints and liaise with authorities.</w:t>
      </w:r>
      <w:r>
        <w:rPr>
          <w:rStyle w:val="16"/>
          <w:rFonts w:ascii="Times New Roman" w:hAnsi="Times New Roman" w:eastAsia="Times New Roman" w:cs="Times New Roman"/>
          <w:sz w:val="24"/>
          <w:szCs w:val="24"/>
        </w:rPr>
        <w:footnoteReference w:id="75"/>
      </w:r>
      <w:r>
        <w:rPr>
          <w:rFonts w:ascii="Times New Roman" w:hAnsi="Times New Roman" w:eastAsia="Times New Roman" w:cs="Times New Roman"/>
          <w:sz w:val="24"/>
          <w:szCs w:val="24"/>
        </w:rPr>
        <w:t xml:space="preserve"> An Ombud would reduce abuse only where it is independent and where its procedures are accessible. Its recommendations must also have weight. Otherwise, it becomes symbolic without actual restraint.</w:t>
      </w:r>
    </w:p>
    <w:p w14:paraId="1B5B2789">
      <w:pPr>
        <w:pStyle w:val="4"/>
      </w:pPr>
      <w:bookmarkStart w:id="36" w:name="_Toc233686205"/>
      <w:r>
        <w:t xml:space="preserve">3.1.6 </w:t>
      </w:r>
      <w:r>
        <w:tab/>
      </w:r>
      <w:r>
        <w:t>Finance Act 2023</w:t>
      </w:r>
      <w:bookmarkEnd w:id="36"/>
    </w:p>
    <w:p w14:paraId="1E500E02">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act was signed at the end of the prior administration. It shaped the fiscal environment which Tinubu’s government inherited. This act amended multiple tax laws and also established policy goals. These include revenue generation, incentives reform, administrative adjustments, among others. The Finance Act 2023 redefined the VAT</w:t>
      </w:r>
      <w:r>
        <w:rPr>
          <w:rStyle w:val="16"/>
          <w:rFonts w:ascii="Times New Roman" w:hAnsi="Times New Roman" w:eastAsia="Times New Roman" w:cs="Times New Roman"/>
          <w:sz w:val="24"/>
          <w:szCs w:val="24"/>
        </w:rPr>
        <w:footnoteReference w:id="76"/>
      </w:r>
      <w:r>
        <w:rPr>
          <w:rFonts w:ascii="Times New Roman" w:hAnsi="Times New Roman" w:eastAsia="Times New Roman" w:cs="Times New Roman"/>
          <w:sz w:val="24"/>
          <w:szCs w:val="24"/>
        </w:rPr>
        <w:t xml:space="preserve"> and it also increased the education tax rate (categorised under revenue generation and administration).</w:t>
      </w:r>
      <w:r>
        <w:rPr>
          <w:rStyle w:val="16"/>
          <w:rFonts w:ascii="Times New Roman" w:hAnsi="Times New Roman" w:eastAsia="Times New Roman" w:cs="Times New Roman"/>
          <w:sz w:val="24"/>
          <w:szCs w:val="24"/>
        </w:rPr>
        <w:footnoteReference w:id="77"/>
      </w:r>
      <w:r>
        <w:rPr>
          <w:rFonts w:ascii="Times New Roman" w:hAnsi="Times New Roman" w:eastAsia="Times New Roman" w:cs="Times New Roman"/>
          <w:sz w:val="24"/>
          <w:szCs w:val="24"/>
        </w:rPr>
        <w:t xml:space="preserve">  In addition, The Act expanded the tax base because it brought digital assets within chargeable assets for capital gains tax.</w:t>
      </w:r>
      <w:r>
        <w:rPr>
          <w:rStyle w:val="16"/>
          <w:rFonts w:ascii="Times New Roman" w:hAnsi="Times New Roman" w:eastAsia="Times New Roman" w:cs="Times New Roman"/>
          <w:sz w:val="24"/>
          <w:szCs w:val="24"/>
        </w:rPr>
        <w:footnoteReference w:id="78"/>
      </w:r>
      <w:r>
        <w:rPr>
          <w:rFonts w:ascii="Times New Roman" w:hAnsi="Times New Roman" w:eastAsia="Times New Roman" w:cs="Times New Roman"/>
          <w:sz w:val="24"/>
          <w:szCs w:val="24"/>
        </w:rPr>
        <w:t xml:space="preserve"> It also introduced a capital-loss relief regime for chargeable assets. This allows losses on disposal to be deducted against gains from the same class of assets and carried forward for up to five years.</w:t>
      </w:r>
      <w:r>
        <w:rPr>
          <w:rStyle w:val="16"/>
          <w:rFonts w:ascii="Times New Roman" w:hAnsi="Times New Roman" w:eastAsia="Times New Roman" w:cs="Times New Roman"/>
          <w:sz w:val="24"/>
          <w:szCs w:val="24"/>
        </w:rPr>
        <w:footnoteReference w:id="79"/>
      </w:r>
      <w:r>
        <w:rPr>
          <w:rFonts w:ascii="Times New Roman" w:hAnsi="Times New Roman" w:eastAsia="Times New Roman" w:cs="Times New Roman"/>
          <w:sz w:val="24"/>
          <w:szCs w:val="24"/>
        </w:rPr>
        <w:t xml:space="preserve"> Going further, the Act imposed a 0.5% levy on eligible goods imported into Nigeria from outside Africa.</w:t>
      </w:r>
      <w:r>
        <w:rPr>
          <w:rStyle w:val="16"/>
          <w:rFonts w:ascii="Times New Roman" w:hAnsi="Times New Roman" w:eastAsia="Times New Roman" w:cs="Times New Roman"/>
          <w:sz w:val="24"/>
          <w:szCs w:val="24"/>
        </w:rPr>
        <w:footnoteReference w:id="80"/>
      </w:r>
    </w:p>
    <w:p w14:paraId="432BC01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Tinubu reforms did not begin from a blank slate. They emerged after a sequence of Finance Acts which amended tax statutes. This indicates that Nigeria experimented with “patchwork reform” before adopting “structural consolidation” in 2025. Even so, patchwork reforms maybe incoherent. Conversely, there may ambiguity in transition after consolidation. </w:t>
      </w:r>
    </w:p>
    <w:p w14:paraId="310AD4B2">
      <w:pPr>
        <w:pStyle w:val="4"/>
      </w:pPr>
      <w:bookmarkStart w:id="37" w:name="_Toc233686206"/>
      <w:r>
        <w:t xml:space="preserve">3.1.7 </w:t>
      </w:r>
      <w:r>
        <w:tab/>
      </w:r>
      <w:r>
        <w:t>Nigeria Customs Service Act (2023)</w:t>
      </w:r>
      <w:bookmarkEnd w:id="37"/>
    </w:p>
    <w:p w14:paraId="48FA3292">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w:t>
      </w:r>
      <w:r>
        <w:rPr>
          <w:rFonts w:ascii="Times New Roman" w:hAnsi="Times New Roman" w:eastAsia="Times New Roman" w:cs="Times New Roman"/>
          <w:bCs/>
          <w:sz w:val="24"/>
          <w:szCs w:val="24"/>
        </w:rPr>
        <w:t>Nigeria Customs Service Act 2023</w:t>
      </w:r>
      <w:r>
        <w:rPr>
          <w:rFonts w:ascii="Times New Roman" w:hAnsi="Times New Roman" w:eastAsia="Times New Roman" w:cs="Times New Roman"/>
          <w:sz w:val="24"/>
          <w:szCs w:val="24"/>
        </w:rPr>
        <w:t xml:space="preserve"> is another relevant legislation. This Act establishes a </w:t>
      </w:r>
      <w:r>
        <w:rPr>
          <w:rFonts w:ascii="Times New Roman" w:hAnsi="Times New Roman" w:eastAsia="Times New Roman" w:cs="Times New Roman"/>
          <w:bCs/>
          <w:sz w:val="24"/>
          <w:szCs w:val="24"/>
        </w:rPr>
        <w:t>Governing Board</w:t>
      </w:r>
      <w:r>
        <w:rPr>
          <w:rFonts w:ascii="Times New Roman" w:hAnsi="Times New Roman" w:eastAsia="Times New Roman" w:cs="Times New Roman"/>
          <w:sz w:val="24"/>
          <w:szCs w:val="24"/>
        </w:rPr>
        <w:t xml:space="preserve"> for the Service,</w:t>
      </w:r>
      <w:r>
        <w:rPr>
          <w:rStyle w:val="16"/>
          <w:rFonts w:ascii="Times New Roman" w:hAnsi="Times New Roman" w:eastAsia="Times New Roman" w:cs="Times New Roman"/>
          <w:sz w:val="24"/>
          <w:szCs w:val="24"/>
        </w:rPr>
        <w:footnoteReference w:id="81"/>
      </w:r>
      <w:r>
        <w:rPr>
          <w:rFonts w:ascii="Times New Roman" w:hAnsi="Times New Roman" w:eastAsia="Times New Roman" w:cs="Times New Roman"/>
          <w:sz w:val="24"/>
          <w:szCs w:val="24"/>
        </w:rPr>
        <w:t xml:space="preserve"> with the Minister of Finance as Chairman</w:t>
      </w:r>
      <w:r>
        <w:rPr>
          <w:rStyle w:val="16"/>
          <w:rFonts w:ascii="Times New Roman" w:hAnsi="Times New Roman" w:eastAsia="Times New Roman" w:cs="Times New Roman"/>
          <w:sz w:val="24"/>
          <w:szCs w:val="24"/>
        </w:rPr>
        <w:footnoteReference w:id="82"/>
      </w:r>
      <w:r>
        <w:rPr>
          <w:rFonts w:ascii="Times New Roman" w:hAnsi="Times New Roman" w:eastAsia="Times New Roman" w:cs="Times New Roman"/>
          <w:sz w:val="24"/>
          <w:szCs w:val="24"/>
        </w:rPr>
        <w:t xml:space="preserve"> and the Comptroller-General as Deputy Chairman.</w:t>
      </w:r>
      <w:r>
        <w:rPr>
          <w:rStyle w:val="16"/>
          <w:rFonts w:ascii="Times New Roman" w:hAnsi="Times New Roman" w:eastAsia="Times New Roman" w:cs="Times New Roman"/>
          <w:sz w:val="24"/>
          <w:szCs w:val="24"/>
        </w:rPr>
        <w:footnoteReference w:id="83"/>
      </w:r>
      <w:r>
        <w:rPr>
          <w:rFonts w:ascii="Times New Roman" w:hAnsi="Times New Roman" w:eastAsia="Times New Roman" w:cs="Times New Roman"/>
          <w:sz w:val="24"/>
          <w:szCs w:val="24"/>
        </w:rPr>
        <w:t xml:space="preserve"> It also vests legal authority in the NCS to act on behalf of the Federal Government in customs matters. Sections 1–3 establish the Nigeria Customs Service and it make it a body corporate. In addition, it provide that the Act applies to all matters connected with the management and administration of customs and excise. Section 4 states that the functions of the Service include administering and enforcing customs and excise laws, collecting and accounting for revenue from customs duties, excise duties, charges, fees and special assessments, administering trade and fiscal policies related to customs, promoting trade facilitation, and preventing smuggling and customs fraud.</w:t>
      </w:r>
    </w:p>
    <w:p w14:paraId="39B6883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Section 7(2) creates the Governing Board and provides that the Minister of Finance is the Chairman, while the Comptroller-General is the Deputy Chairman. Section 10(1) then assigns the Board responsibility for policy guidelines, strategic plans, recruitment, promotion and discipline. Section 18(1)(a) is one of the most discussed provisions of the Act. It provides that the Service shall keep approved bank accounts into which shall be paid “not less than 4% of the free-on-board value of imports” according to international best practices.</w:t>
      </w:r>
    </w:p>
    <w:p w14:paraId="1273393F">
      <w:pPr>
        <w:spacing w:line="480" w:lineRule="auto"/>
        <w:jc w:val="both"/>
        <w:rPr>
          <w:rFonts w:ascii="Times New Roman" w:hAnsi="Times New Roman" w:eastAsia="Times New Roman" w:cs="Times New Roman"/>
          <w:sz w:val="24"/>
          <w:szCs w:val="24"/>
        </w:rPr>
      </w:pPr>
    </w:p>
    <w:p w14:paraId="442B846E">
      <w:pPr>
        <w:spacing w:line="480" w:lineRule="auto"/>
        <w:jc w:val="both"/>
        <w:rPr>
          <w:rFonts w:ascii="Times New Roman" w:hAnsi="Times New Roman" w:eastAsia="Times New Roman" w:cs="Times New Roman"/>
          <w:sz w:val="24"/>
          <w:szCs w:val="24"/>
        </w:rPr>
      </w:pPr>
    </w:p>
    <w:p w14:paraId="7639E2B7">
      <w:pPr>
        <w:pStyle w:val="3"/>
        <w:rPr>
          <w:kern w:val="36"/>
        </w:rPr>
      </w:pPr>
      <w:bookmarkStart w:id="38" w:name="_Toc233686207"/>
      <w:r>
        <w:rPr>
          <w:kern w:val="36"/>
        </w:rPr>
        <w:t xml:space="preserve">3.2 </w:t>
      </w:r>
      <w:r>
        <w:rPr>
          <w:kern w:val="36"/>
        </w:rPr>
        <w:tab/>
      </w:r>
      <w:r>
        <w:rPr>
          <w:kern w:val="36"/>
        </w:rPr>
        <w:t>Core Institutional Framework for Taxation in Nigeria</w:t>
      </w:r>
      <w:bookmarkEnd w:id="38"/>
    </w:p>
    <w:p w14:paraId="07C6C64E">
      <w:pPr>
        <w:spacing w:line="480" w:lineRule="auto"/>
        <w:jc w:val="both"/>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t xml:space="preserve">This section examines the core institutional framework for taxation under Ahmed Tinubu’s Administration in Nigeria. </w:t>
      </w:r>
    </w:p>
    <w:p w14:paraId="33643DD4">
      <w:pPr>
        <w:pStyle w:val="4"/>
      </w:pPr>
      <w:bookmarkStart w:id="39" w:name="_Toc233686208"/>
      <w:r>
        <w:t xml:space="preserve">3.2.1 </w:t>
      </w:r>
      <w:r>
        <w:tab/>
      </w:r>
      <w:r>
        <w:t>Nigeria Revenue Service (NRS)</w:t>
      </w:r>
      <w:bookmarkEnd w:id="39"/>
    </w:p>
    <w:p w14:paraId="4071BE08">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Under the </w:t>
      </w:r>
      <w:r>
        <w:rPr>
          <w:rFonts w:ascii="Times New Roman" w:hAnsi="Times New Roman" w:eastAsia="Times New Roman" w:cs="Times New Roman"/>
          <w:bCs/>
          <w:sz w:val="24"/>
          <w:szCs w:val="24"/>
        </w:rPr>
        <w:t>Nigeria Revenue Service Act 2025 (NRSA)</w:t>
      </w:r>
      <w:r>
        <w:rPr>
          <w:rFonts w:ascii="Times New Roman" w:hAnsi="Times New Roman" w:eastAsia="Times New Roman" w:cs="Times New Roman"/>
          <w:sz w:val="24"/>
          <w:szCs w:val="24"/>
        </w:rPr>
        <w:t xml:space="preserve">, the federal revenue authority is reconstituted as the </w:t>
      </w:r>
      <w:r>
        <w:rPr>
          <w:rFonts w:ascii="Times New Roman" w:hAnsi="Times New Roman" w:eastAsia="Times New Roman" w:cs="Times New Roman"/>
          <w:bCs/>
          <w:sz w:val="24"/>
          <w:szCs w:val="24"/>
        </w:rPr>
        <w:t>Nigeria Revenue Service</w:t>
      </w:r>
      <w:r>
        <w:rPr>
          <w:rFonts w:ascii="Times New Roman" w:hAnsi="Times New Roman" w:eastAsia="Times New Roman" w:cs="Times New Roman"/>
          <w:sz w:val="24"/>
          <w:szCs w:val="24"/>
        </w:rPr>
        <w:t>. It assess, collects, and accounts for taxes and revenues accruable to the Government of the Federation.</w:t>
      </w:r>
      <w:r>
        <w:rPr>
          <w:rStyle w:val="16"/>
          <w:rFonts w:ascii="Times New Roman" w:hAnsi="Times New Roman" w:eastAsia="Times New Roman" w:cs="Times New Roman"/>
          <w:sz w:val="24"/>
          <w:szCs w:val="24"/>
        </w:rPr>
        <w:footnoteReference w:id="84"/>
      </w:r>
      <w:r>
        <w:rPr>
          <w:rFonts w:ascii="Times New Roman" w:hAnsi="Times New Roman" w:eastAsia="Times New Roman" w:cs="Times New Roman"/>
          <w:sz w:val="24"/>
          <w:szCs w:val="24"/>
        </w:rPr>
        <w:t xml:space="preserve"> NRS is the main coercive face of federal taxation. Where a revenue authority’s powers are vague, taxpayers suffer; where powers are clear but unchecked, taxpayers fear predation. Hence, the legitimacy of NRS depends on whether enforcement is disciplined by due process and credible review.</w:t>
      </w:r>
    </w:p>
    <w:p w14:paraId="19DDF93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It is suggested that the NRSA is a governance and efficiency upgrade. However, reform must be tested legally. A revenue authority without safeguards produces “administrative taxation.” This is a situation where the real law is whatever the authority insists on. In such systems, taxpayers are not protected. This risk is not hypothetical. Indeed, the commencement of the new tax laws generated political controversy. It was alleged that there were excessive enforcement powers in the gazetted text. </w:t>
      </w:r>
    </w:p>
    <w:p w14:paraId="288ECC88">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change introduced by the 2025 reform is that the former Federal Inland Revenue Service framework was replaced with a broader structure of the Nigeria Revenue Service. The reform reconstituted the federal tax authority as the Nigeria Revenue Service and it gave it a legal, institutional and regulatory framework for administering taxes and revenues accruable to the Government of the Federation.</w:t>
      </w:r>
      <w:r>
        <w:rPr>
          <w:rStyle w:val="16"/>
          <w:rFonts w:ascii="Times New Roman" w:hAnsi="Times New Roman" w:eastAsia="Times New Roman" w:cs="Times New Roman"/>
          <w:sz w:val="24"/>
          <w:szCs w:val="24"/>
        </w:rPr>
        <w:footnoteReference w:id="85"/>
      </w:r>
      <w:r>
        <w:rPr>
          <w:rFonts w:ascii="Times New Roman" w:hAnsi="Times New Roman" w:eastAsia="Times New Roman" w:cs="Times New Roman"/>
          <w:sz w:val="24"/>
          <w:szCs w:val="24"/>
        </w:rPr>
        <w:t xml:space="preserve"> In effect, the reform moved the administration of federal revenue from the older FIRS model to a revenue-service model with express powers to assess, collect, recover as well as account for federal taxes and designated revenues.</w:t>
      </w:r>
      <w:r>
        <w:rPr>
          <w:rStyle w:val="16"/>
          <w:rFonts w:ascii="Times New Roman" w:hAnsi="Times New Roman" w:eastAsia="Times New Roman" w:cs="Times New Roman"/>
          <w:sz w:val="24"/>
          <w:szCs w:val="24"/>
        </w:rPr>
        <w:footnoteReference w:id="86"/>
      </w:r>
    </w:p>
    <w:p w14:paraId="240A3CEC">
      <w:pPr>
        <w:pStyle w:val="4"/>
      </w:pPr>
      <w:bookmarkStart w:id="40" w:name="_Toc233686209"/>
      <w:r>
        <w:t xml:space="preserve">3.2.2 </w:t>
      </w:r>
      <w:r>
        <w:tab/>
      </w:r>
      <w:r>
        <w:t>Federal Ministry of Finance (FMF) / Minister of Finance</w:t>
      </w:r>
      <w:bookmarkEnd w:id="40"/>
    </w:p>
    <w:p w14:paraId="41A2862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Minister/Ministry is the apex body which coordinates fiscal policy. Even where NRS administers tax, the Ministry often shapes </w:t>
      </w:r>
      <w:r>
        <w:rPr>
          <w:rFonts w:ascii="Times New Roman" w:hAnsi="Times New Roman" w:eastAsia="Times New Roman" w:cs="Times New Roman"/>
          <w:bCs/>
          <w:sz w:val="24"/>
          <w:szCs w:val="24"/>
        </w:rPr>
        <w:t>p</w:t>
      </w:r>
      <w:r>
        <w:rPr>
          <w:rFonts w:ascii="Times New Roman" w:hAnsi="Times New Roman" w:eastAsia="Times New Roman" w:cs="Times New Roman"/>
          <w:sz w:val="24"/>
          <w:szCs w:val="24"/>
        </w:rPr>
        <w:t>olicy direction.</w:t>
      </w:r>
      <w:r>
        <w:rPr>
          <w:rStyle w:val="16"/>
          <w:rFonts w:ascii="Times New Roman" w:hAnsi="Times New Roman" w:eastAsia="Times New Roman" w:cs="Times New Roman"/>
          <w:sz w:val="24"/>
          <w:szCs w:val="24"/>
        </w:rPr>
        <w:footnoteReference w:id="87"/>
      </w:r>
      <w:r>
        <w:rPr>
          <w:rFonts w:ascii="Times New Roman" w:hAnsi="Times New Roman" w:eastAsia="Times New Roman" w:cs="Times New Roman"/>
          <w:sz w:val="24"/>
          <w:szCs w:val="24"/>
        </w:rPr>
        <w:t xml:space="preserve"> The role of the ministry matters for legality because policy directives cannot substitute for statute. Where administrative circulars begin to look like new tax laws, the question of legality arises.</w:t>
      </w:r>
      <w:r>
        <w:rPr>
          <w:rStyle w:val="16"/>
          <w:rFonts w:ascii="Times New Roman" w:hAnsi="Times New Roman" w:eastAsia="Times New Roman" w:cs="Times New Roman"/>
          <w:sz w:val="24"/>
          <w:szCs w:val="24"/>
        </w:rPr>
        <w:footnoteReference w:id="88"/>
      </w:r>
      <w:r>
        <w:rPr>
          <w:rFonts w:ascii="Times New Roman" w:hAnsi="Times New Roman" w:eastAsia="Times New Roman" w:cs="Times New Roman"/>
          <w:sz w:val="24"/>
          <w:szCs w:val="24"/>
        </w:rPr>
        <w:t xml:space="preserve"> Conversely, where statutory measures exist, the Ministry must respects such.</w:t>
      </w:r>
    </w:p>
    <w:p w14:paraId="0EB38017">
      <w:pPr>
        <w:pStyle w:val="4"/>
      </w:pPr>
      <w:bookmarkStart w:id="41" w:name="_Toc233686210"/>
      <w:r>
        <w:t xml:space="preserve">3.2.3 </w:t>
      </w:r>
      <w:r>
        <w:tab/>
      </w:r>
      <w:r>
        <w:t>Joint Revenue Board (JRB)</w:t>
      </w:r>
      <w:bookmarkEnd w:id="41"/>
    </w:p>
    <w:p w14:paraId="77711B0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w:t>
      </w:r>
      <w:r>
        <w:rPr>
          <w:rFonts w:ascii="Times New Roman" w:hAnsi="Times New Roman" w:eastAsia="Times New Roman" w:cs="Times New Roman"/>
          <w:bCs/>
          <w:sz w:val="24"/>
          <w:szCs w:val="24"/>
        </w:rPr>
        <w:t>Joint Revenue Board of Nigeria (Establishment) Act 2025</w:t>
      </w:r>
      <w:r>
        <w:rPr>
          <w:rFonts w:ascii="Times New Roman" w:hAnsi="Times New Roman" w:eastAsia="Times New Roman" w:cs="Times New Roman"/>
          <w:sz w:val="24"/>
          <w:szCs w:val="24"/>
        </w:rPr>
        <w:t xml:space="preserve"> establishes the </w:t>
      </w:r>
      <w:r>
        <w:rPr>
          <w:rFonts w:ascii="Times New Roman" w:hAnsi="Times New Roman" w:eastAsia="Times New Roman" w:cs="Times New Roman"/>
          <w:bCs/>
          <w:sz w:val="24"/>
          <w:szCs w:val="24"/>
        </w:rPr>
        <w:t>Joint Revenue Board</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89"/>
      </w:r>
      <w:r>
        <w:rPr>
          <w:rFonts w:ascii="Times New Roman" w:hAnsi="Times New Roman" w:eastAsia="Times New Roman" w:cs="Times New Roman"/>
          <w:sz w:val="24"/>
          <w:szCs w:val="24"/>
        </w:rPr>
        <w:t xml:space="preserve"> alongside the TAT</w:t>
      </w:r>
      <w:r>
        <w:rPr>
          <w:rStyle w:val="16"/>
          <w:rFonts w:ascii="Times New Roman" w:hAnsi="Times New Roman" w:eastAsia="Times New Roman" w:cs="Times New Roman"/>
          <w:sz w:val="24"/>
          <w:szCs w:val="24"/>
        </w:rPr>
        <w:footnoteReference w:id="90"/>
      </w:r>
      <w:r>
        <w:rPr>
          <w:rFonts w:ascii="Times New Roman" w:hAnsi="Times New Roman" w:eastAsia="Times New Roman" w:cs="Times New Roman"/>
          <w:sz w:val="24"/>
          <w:szCs w:val="24"/>
        </w:rPr>
        <w:t xml:space="preserve"> and the Office of the Tax Ombud.</w:t>
      </w:r>
      <w:r>
        <w:rPr>
          <w:rStyle w:val="16"/>
          <w:rFonts w:ascii="Times New Roman" w:hAnsi="Times New Roman" w:eastAsia="Times New Roman" w:cs="Times New Roman"/>
          <w:sz w:val="24"/>
          <w:szCs w:val="24"/>
        </w:rPr>
        <w:footnoteReference w:id="91"/>
      </w:r>
      <w:r>
        <w:rPr>
          <w:rFonts w:ascii="Times New Roman" w:hAnsi="Times New Roman" w:eastAsia="Times New Roman" w:cs="Times New Roman"/>
          <w:sz w:val="24"/>
          <w:szCs w:val="24"/>
        </w:rPr>
        <w:t xml:space="preserve"> The JRB is a direct institutional response to the historic “multiplicity problem” in Nigeria. It overlaps taxes/levies across tiers and uncoordinated administration that raises compliance costs and encourages informality. Coordination is attractive, however, it is sensitive constitutionally. States have revenue responsibilities and political incentives to maximise internally generated revenue. On the other hand, the federation claims control over major tax bases and federal revenue streams. When the JRB pushes harmonisation, the line between “coordination” and “de facto centralisation” becomes contested. If coordination imposes substantive tax outcomes beyond competence, states may resist or litigate. Even so, it should be noted that Disputes about “revenue of the Federation” and federal taxation often land within the exclusive jurisdiction of the  Federal High Court</w:t>
      </w:r>
      <w:r>
        <w:rPr>
          <w:rStyle w:val="16"/>
          <w:rFonts w:ascii="Times New Roman" w:hAnsi="Times New Roman" w:eastAsia="Times New Roman" w:cs="Times New Roman"/>
          <w:sz w:val="24"/>
          <w:szCs w:val="24"/>
        </w:rPr>
        <w:footnoteReference w:id="92"/>
      </w:r>
      <w:r>
        <w:rPr>
          <w:rFonts w:ascii="Times New Roman" w:hAnsi="Times New Roman" w:eastAsia="Times New Roman" w:cs="Times New Roman"/>
          <w:sz w:val="24"/>
          <w:szCs w:val="24"/>
        </w:rPr>
        <w:t xml:space="preserve"> </w:t>
      </w:r>
    </w:p>
    <w:p w14:paraId="769E90D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reform also changed the intergovernmental structure of tax administration by establishing the Joint Revenue Board as a statutory body for harmonising and coordinating revenue administration across Nigeria.</w:t>
      </w:r>
      <w:r>
        <w:rPr>
          <w:rStyle w:val="16"/>
          <w:rFonts w:ascii="Times New Roman" w:hAnsi="Times New Roman" w:eastAsia="Times New Roman" w:cs="Times New Roman"/>
          <w:sz w:val="24"/>
          <w:szCs w:val="24"/>
        </w:rPr>
        <w:footnoteReference w:id="93"/>
      </w:r>
      <w:r>
        <w:rPr>
          <w:rFonts w:ascii="Times New Roman" w:hAnsi="Times New Roman" w:eastAsia="Times New Roman" w:cs="Times New Roman"/>
          <w:sz w:val="24"/>
          <w:szCs w:val="24"/>
        </w:rPr>
        <w:t xml:space="preserve"> Before the reform, one of the major challenges in the tax system in Nigeria was the multiplicity of taxes, overlapping levies, weak coordination among revenue authorities and duplication of obligations.</w:t>
      </w:r>
      <w:r>
        <w:rPr>
          <w:rStyle w:val="16"/>
          <w:rFonts w:ascii="Times New Roman" w:hAnsi="Times New Roman" w:eastAsia="Times New Roman" w:cs="Times New Roman"/>
          <w:sz w:val="24"/>
          <w:szCs w:val="24"/>
        </w:rPr>
        <w:footnoteReference w:id="94"/>
      </w:r>
      <w:r>
        <w:rPr>
          <w:rFonts w:ascii="Times New Roman" w:hAnsi="Times New Roman" w:eastAsia="Times New Roman" w:cs="Times New Roman"/>
          <w:sz w:val="24"/>
          <w:szCs w:val="24"/>
        </w:rPr>
        <w:t xml:space="preserve"> The Joint Revenue Board Act 2025 responds to this problem because it creates a platform that brings the federal revenue authority, state IRS and other relevant institutions into a single framework. </w:t>
      </w:r>
    </w:p>
    <w:p w14:paraId="5F49B233">
      <w:pPr>
        <w:pStyle w:val="4"/>
      </w:pPr>
      <w:bookmarkStart w:id="42" w:name="_Toc233686211"/>
      <w:r>
        <w:t xml:space="preserve">3.2.4 </w:t>
      </w:r>
      <w:r>
        <w:tab/>
      </w:r>
      <w:r>
        <w:t>Tax Appeal Tribunal (TAT)</w:t>
      </w:r>
      <w:bookmarkEnd w:id="42"/>
    </w:p>
    <w:p w14:paraId="20D6666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TAT is a core dispute-resolution institution provided for within the Joint Revenue Board Act architecture. It is the “first significant” formal check on revenue power. It handles objections/appeals and it produces reasoned decisions that may be reviewed by superior courts.</w:t>
      </w:r>
      <w:r>
        <w:rPr>
          <w:rStyle w:val="16"/>
          <w:rFonts w:ascii="Times New Roman" w:hAnsi="Times New Roman" w:eastAsia="Times New Roman" w:cs="Times New Roman"/>
          <w:sz w:val="24"/>
          <w:szCs w:val="24"/>
        </w:rPr>
        <w:footnoteReference w:id="95"/>
      </w:r>
      <w:r>
        <w:rPr>
          <w:rFonts w:ascii="Times New Roman" w:hAnsi="Times New Roman" w:eastAsia="Times New Roman" w:cs="Times New Roman"/>
          <w:sz w:val="24"/>
          <w:szCs w:val="24"/>
        </w:rPr>
        <w:t xml:space="preserve"> This is the first major specialised tax dispute-resolution institution in the reform framework. The Tribunal is established under section 23 of the Joint Revenue Board Act 2025. Section 29 gives it power to adjudicate tax disputes and controversies arising from the Nigeria Tax Act, the Nigeria Tax Administration Act, and other tax laws. Historically, the legitimacy of TAT faced a constitutional attack. Opponents argued that section 251 of the Constitution gives the Federal High Court exclusive jurisdiction over federal revenue/tax matters. This renders TAT unconstitutional. Section 251(1)(a) and (b) are often invoked. They give the Federal High Court exclusive jurisdiction over civil matters relating to federal revenue and federal taxation of companies and other bodies.</w:t>
      </w:r>
      <w:r>
        <w:rPr>
          <w:rStyle w:val="16"/>
          <w:rFonts w:ascii="Times New Roman" w:hAnsi="Times New Roman" w:eastAsia="Times New Roman" w:cs="Times New Roman"/>
          <w:sz w:val="24"/>
          <w:szCs w:val="24"/>
        </w:rPr>
        <w:footnoteReference w:id="96"/>
      </w:r>
      <w:r>
        <w:rPr>
          <w:rFonts w:ascii="Times New Roman" w:hAnsi="Times New Roman" w:eastAsia="Times New Roman" w:cs="Times New Roman"/>
          <w:sz w:val="24"/>
          <w:szCs w:val="24"/>
        </w:rPr>
        <w:t xml:space="preserve"> In </w:t>
      </w:r>
      <w:r>
        <w:rPr>
          <w:rFonts w:ascii="Times New Roman" w:hAnsi="Times New Roman" w:eastAsia="Times New Roman" w:cs="Times New Roman"/>
          <w:bCs/>
          <w:i/>
          <w:sz w:val="24"/>
          <w:szCs w:val="24"/>
        </w:rPr>
        <w:t>TSKJ Construcoes Internacional Sociedade Uniperssoal LDA v FIRS</w:t>
      </w:r>
      <w:r>
        <w:rPr>
          <w:rFonts w:ascii="Times New Roman" w:hAnsi="Times New Roman" w:eastAsia="Times New Roman" w:cs="Times New Roman"/>
          <w:bCs/>
          <w:sz w:val="24"/>
          <w:szCs w:val="24"/>
        </w:rPr>
        <w:t>,</w:t>
      </w:r>
      <w:r>
        <w:rPr>
          <w:rStyle w:val="16"/>
          <w:rFonts w:ascii="Times New Roman" w:hAnsi="Times New Roman" w:eastAsia="Times New Roman" w:cs="Times New Roman"/>
          <w:bCs/>
          <w:sz w:val="24"/>
          <w:szCs w:val="24"/>
        </w:rPr>
        <w:footnoteReference w:id="97"/>
      </w:r>
      <w:r>
        <w:rPr>
          <w:rFonts w:ascii="Times New Roman" w:hAnsi="Times New Roman" w:eastAsia="Times New Roman" w:cs="Times New Roman"/>
          <w:sz w:val="24"/>
          <w:szCs w:val="24"/>
        </w:rPr>
        <w:t xml:space="preserve"> the Supreme Court (judgment delivered 9 May 2025) affirmed that the TAT may operate validly as an administrative body/condition precedent in the dispute pathway without violating constitutional jurisdiction of the Federal High Court. </w:t>
      </w:r>
    </w:p>
    <w:p w14:paraId="63C7F7F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reform changed the position of the Tax Appeal Tribunal. It relocated and re-establised it within the Joint Revenue Board Act 2025. Under the new structure, the Tribunal is no longer treated as a schedule-based mechanism for dispute resolution under the old FIRS Act. It is established under the 2025 reform as a specialised forum for resolving tax disputes.</w:t>
      </w:r>
      <w:r>
        <w:rPr>
          <w:rStyle w:val="16"/>
          <w:rFonts w:ascii="Times New Roman" w:hAnsi="Times New Roman" w:eastAsia="Times New Roman" w:cs="Times New Roman"/>
          <w:sz w:val="24"/>
          <w:szCs w:val="24"/>
        </w:rPr>
        <w:footnoteReference w:id="98"/>
      </w:r>
      <w:r>
        <w:rPr>
          <w:rFonts w:ascii="Times New Roman" w:hAnsi="Times New Roman" w:eastAsia="Times New Roman" w:cs="Times New Roman"/>
          <w:sz w:val="24"/>
          <w:szCs w:val="24"/>
        </w:rPr>
        <w:t xml:space="preserve"> Therefore, the reform gives the TAT a statutory foundation, preserves proceedings  which are pending, transfers the assets and liabilities of the former Tribunal to the newly established Tribunal, and confirms its role in the process of resolution of tax dispute. </w:t>
      </w:r>
    </w:p>
    <w:p w14:paraId="3250CEAF">
      <w:pPr>
        <w:pStyle w:val="4"/>
      </w:pPr>
      <w:bookmarkStart w:id="43" w:name="_Toc233686212"/>
      <w:r>
        <w:t xml:space="preserve">3.2.5 </w:t>
      </w:r>
      <w:r>
        <w:tab/>
      </w:r>
      <w:r>
        <w:t>Office of the Tax Ombud (Tax Ombudsman)</w:t>
      </w:r>
      <w:bookmarkEnd w:id="43"/>
    </w:p>
    <w:p w14:paraId="0DC0348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Office of the Tax Ombud is part of the 2025 Joint Revenue Board framework and it is a mechanism for taxpayer-rights and grievance-resolution. It was created by section 36 of the Joint Revenue Board Act 2025. It reviews complaints and help resolve administrative failures without forcing immediate litigation.</w:t>
      </w:r>
      <w:r>
        <w:rPr>
          <w:rStyle w:val="16"/>
          <w:rFonts w:ascii="Times New Roman" w:hAnsi="Times New Roman" w:eastAsia="Times New Roman" w:cs="Times New Roman"/>
          <w:sz w:val="24"/>
          <w:szCs w:val="24"/>
        </w:rPr>
        <w:footnoteReference w:id="99"/>
      </w:r>
      <w:r>
        <w:rPr>
          <w:rFonts w:ascii="Times New Roman" w:hAnsi="Times New Roman" w:eastAsia="Times New Roman" w:cs="Times New Roman"/>
          <w:sz w:val="24"/>
          <w:szCs w:val="24"/>
        </w:rPr>
        <w:t xml:space="preserve"> Ombud is a positive innovation. However, its effectiveness depend on how it is implemented in practice. However, given the existing pitfalls in tax system in Nigeria</w:t>
      </w:r>
      <w:r>
        <w:rPr>
          <w:rStyle w:val="16"/>
          <w:rFonts w:ascii="Times New Roman" w:hAnsi="Times New Roman" w:eastAsia="Times New Roman" w:cs="Times New Roman"/>
          <w:sz w:val="24"/>
          <w:szCs w:val="24"/>
        </w:rPr>
        <w:footnoteReference w:id="100"/>
      </w:r>
      <w:r>
        <w:rPr>
          <w:rFonts w:ascii="Times New Roman" w:hAnsi="Times New Roman" w:eastAsia="Times New Roman" w:cs="Times New Roman"/>
          <w:sz w:val="24"/>
          <w:szCs w:val="24"/>
        </w:rPr>
        <w:t xml:space="preserve"> (including weak administrative culture, abusing enforcement power, delay, and overlap of institutional) the Ombud may fail if it is not independent; if it lacks funding, trained personnel, political support as well as remedial powers which are binding. Therefore, the finding of this research is cautious. The Ombud would improve protect taxpayer and administrative accountability, but it will not function well automatically unless the legal safeguards are supported by institutional capacity and operational independence. Scholars</w:t>
      </w:r>
      <w:r>
        <w:rPr>
          <w:rStyle w:val="16"/>
          <w:rFonts w:ascii="Times New Roman" w:hAnsi="Times New Roman" w:eastAsia="Times New Roman" w:cs="Times New Roman"/>
          <w:sz w:val="24"/>
          <w:szCs w:val="24"/>
        </w:rPr>
        <w:footnoteReference w:id="101"/>
      </w:r>
      <w:r>
        <w:rPr>
          <w:rFonts w:ascii="Times New Roman" w:hAnsi="Times New Roman" w:eastAsia="Times New Roman" w:cs="Times New Roman"/>
          <w:sz w:val="24"/>
          <w:szCs w:val="24"/>
        </w:rPr>
        <w:t xml:space="preserve"> point out that Ombuds institutions would succeed where (i) independence is real, (ii) complaint processes are simple, and (iii) outcomes produce meaningful administrative change. They fail when they are symbolic. That is, they are created to calm backlash but denied resources or institutional leverage. The Ombud is important for Nigeria because many tax harms arise not from the statute but from the </w:t>
      </w:r>
      <w:r>
        <w:rPr>
          <w:rFonts w:ascii="Times New Roman" w:hAnsi="Times New Roman" w:eastAsia="Times New Roman" w:cs="Times New Roman"/>
          <w:i/>
          <w:iCs/>
          <w:sz w:val="24"/>
          <w:szCs w:val="24"/>
        </w:rPr>
        <w:t>way</w:t>
      </w:r>
      <w:r>
        <w:rPr>
          <w:rFonts w:ascii="Times New Roman" w:hAnsi="Times New Roman" w:eastAsia="Times New Roman" w:cs="Times New Roman"/>
          <w:sz w:val="24"/>
          <w:szCs w:val="24"/>
        </w:rPr>
        <w:t xml:space="preserve"> low-level enforcement happens.</w:t>
      </w:r>
      <w:r>
        <w:rPr>
          <w:rStyle w:val="16"/>
          <w:rFonts w:ascii="Times New Roman" w:hAnsi="Times New Roman" w:eastAsia="Times New Roman" w:cs="Times New Roman"/>
          <w:sz w:val="24"/>
          <w:szCs w:val="24"/>
        </w:rPr>
        <w:footnoteReference w:id="102"/>
      </w:r>
      <w:r>
        <w:rPr>
          <w:rFonts w:ascii="Times New Roman" w:hAnsi="Times New Roman" w:eastAsia="Times New Roman" w:cs="Times New Roman"/>
          <w:sz w:val="24"/>
          <w:szCs w:val="24"/>
        </w:rPr>
        <w:t xml:space="preserve"> Thus, the value of the Ombud will be measured by whether it reduces those behaviours and whether it intervene in systemic issues (for example, recurring audit abuse patterns). An effective Ombud would stabilise compliance trust when there is public anxiety about the powers of enforcement.</w:t>
      </w:r>
      <w:r>
        <w:rPr>
          <w:rStyle w:val="16"/>
          <w:rFonts w:ascii="Times New Roman" w:hAnsi="Times New Roman" w:eastAsia="Times New Roman" w:cs="Times New Roman"/>
          <w:sz w:val="24"/>
          <w:szCs w:val="24"/>
        </w:rPr>
        <w:footnoteReference w:id="103"/>
      </w:r>
      <w:r>
        <w:rPr>
          <w:rFonts w:ascii="Times New Roman" w:hAnsi="Times New Roman" w:eastAsia="Times New Roman" w:cs="Times New Roman"/>
          <w:sz w:val="24"/>
          <w:szCs w:val="24"/>
        </w:rPr>
        <w:t xml:space="preserve"> </w:t>
      </w:r>
    </w:p>
    <w:p w14:paraId="218554A2">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reform introduced an institution which protects tax payers by creating the Office of the Tax Ombud. Previous tax administration frameworks focused on assessment, collection and enforcement. There was less emphasis on an independent mechanism for complaints for taxpayers. The Joint Revenue Board Act 2025 now establishes the Office of the Tax Ombud to receive and resolve complaints which arise from the administration of revenue, encourage alternative dispute resolution and issue recommendations, guidelines or directives where necessary.</w:t>
      </w:r>
      <w:r>
        <w:rPr>
          <w:rStyle w:val="16"/>
          <w:rFonts w:ascii="Times New Roman" w:hAnsi="Times New Roman" w:eastAsia="Times New Roman" w:cs="Times New Roman"/>
          <w:sz w:val="24"/>
          <w:szCs w:val="24"/>
        </w:rPr>
        <w:footnoteReference w:id="104"/>
      </w:r>
      <w:r>
        <w:rPr>
          <w:rFonts w:ascii="Times New Roman" w:hAnsi="Times New Roman" w:eastAsia="Times New Roman" w:cs="Times New Roman"/>
          <w:sz w:val="24"/>
          <w:szCs w:val="24"/>
        </w:rPr>
        <w:t xml:space="preserve"> Therefore, the reform introduces a safeguard for tax payers right in the tax system in Nigeria. This reform protects taxpayers against administrative abuse, delay, arbitrary enforcement and recurring failures in institution without requiring grievance to proceed immediately to litigation.</w:t>
      </w:r>
    </w:p>
    <w:p w14:paraId="5A83B51E">
      <w:pPr>
        <w:pStyle w:val="4"/>
      </w:pPr>
      <w:bookmarkStart w:id="44" w:name="_Toc233686213"/>
      <w:r>
        <w:t xml:space="preserve">3.2.6 </w:t>
      </w:r>
      <w:r>
        <w:tab/>
      </w:r>
      <w:r>
        <w:t>State Internal Revenue Services (SIRS)</w:t>
      </w:r>
      <w:bookmarkEnd w:id="44"/>
    </w:p>
    <w:p w14:paraId="4179277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SIRS administer key subnational revenue streams. They are often the primary interface for resident individuals and many local businesses. Under the Nigeria Tax Administration Act 2025, tax-administration is divided between federal and subnational authorities. This preserves the role of the states in taxes within their competence. The burdens of day-to-day compliance come from subnational demands. The NTAA adopts a uniform procedure.” This is intended to reduce fragmentation across tax authorities. A critical point is that if federal reforms standardise procedure but practices in the state remains arbitrary, there would be friction in compliance. Conversely, if “uniformity” dictates substantive outcomes beyond competence, states resist. </w:t>
      </w:r>
    </w:p>
    <w:p w14:paraId="2ECFA559">
      <w:pPr>
        <w:pStyle w:val="4"/>
      </w:pPr>
      <w:bookmarkStart w:id="45" w:name="_Toc233686214"/>
      <w:r>
        <w:t xml:space="preserve">3.2.7 </w:t>
      </w:r>
      <w:r>
        <w:tab/>
      </w:r>
      <w:r>
        <w:t>Local government revenue committees/structures</w:t>
      </w:r>
      <w:bookmarkEnd w:id="45"/>
    </w:p>
    <w:p w14:paraId="16247ED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Local government revenue structures are significant because they are the lowest and most visible layer of tax and levy enforcement.</w:t>
      </w:r>
      <w:r>
        <w:rPr>
          <w:rStyle w:val="16"/>
          <w:rFonts w:ascii="Times New Roman" w:hAnsi="Times New Roman" w:eastAsia="Times New Roman" w:cs="Times New Roman"/>
          <w:bCs/>
          <w:sz w:val="24"/>
          <w:szCs w:val="24"/>
        </w:rPr>
        <w:footnoteReference w:id="105"/>
      </w:r>
      <w:r>
        <w:rPr>
          <w:rFonts w:ascii="Times New Roman" w:hAnsi="Times New Roman" w:eastAsia="Times New Roman" w:cs="Times New Roman"/>
          <w:bCs/>
          <w:sz w:val="24"/>
          <w:szCs w:val="24"/>
        </w:rPr>
        <w:t xml:space="preserve"> Section 7(5) of the Constitution and the Fourth Schedule, paragraph 1(b) and (e) place visible revenue-related functions at the local level. Local structures matter to tax legitimacy because of local levies and informal enforcement. </w:t>
      </w:r>
      <w:r>
        <w:rPr>
          <w:rFonts w:ascii="Times New Roman" w:hAnsi="Times New Roman" w:eastAsia="Times New Roman" w:cs="Times New Roman"/>
          <w:sz w:val="24"/>
          <w:szCs w:val="24"/>
        </w:rPr>
        <w:t xml:space="preserve">Local levies and informal enforcement practices are often where taxpayers experience the sharpest compliance pain, especially in markets, transport corridors, and business premises. Indeed, many of these exactions are small individually. However, they are crushing cumulatively. This creates a “daily tax harassment economy” that undermines formalisation. Because local revenue systems are often less formal and less transparent, the legality principle is most frequently violated here, even if rarely litigated due to low claim values and high litigation costs. This is why national reform may “look successful” in statutes while it fails in lived experience. In essence, Institutional weakness at the bottom sabotages legitimacy at the top. The Tinubu-era framework’s coordination (JRB) and taxpayer-rights mechanism (Ombud) only succeed if they are capable of addressing the local level. </w:t>
      </w:r>
    </w:p>
    <w:p w14:paraId="7526B851">
      <w:pPr>
        <w:pStyle w:val="4"/>
      </w:pPr>
      <w:bookmarkStart w:id="46" w:name="_Toc233686215"/>
      <w:r>
        <w:t xml:space="preserve">3.2.8 </w:t>
      </w:r>
      <w:r>
        <w:tab/>
      </w:r>
      <w:r>
        <w:t>Nigeria Customs Service (NCS).</w:t>
      </w:r>
      <w:bookmarkEnd w:id="46"/>
    </w:p>
    <w:p w14:paraId="078D87C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NCS is both a revenue institution and a trade-regulation institution</w:t>
      </w:r>
      <w:r>
        <w:rPr>
          <w:rStyle w:val="16"/>
          <w:rFonts w:ascii="Times New Roman" w:hAnsi="Times New Roman" w:eastAsia="Times New Roman" w:cs="Times New Roman"/>
          <w:sz w:val="24"/>
          <w:szCs w:val="24"/>
        </w:rPr>
        <w:footnoteReference w:id="106"/>
      </w:r>
      <w:r>
        <w:rPr>
          <w:rFonts w:ascii="Times New Roman" w:hAnsi="Times New Roman" w:eastAsia="Times New Roman" w:cs="Times New Roman"/>
          <w:sz w:val="24"/>
          <w:szCs w:val="24"/>
        </w:rPr>
        <w:t>. In addition, it is a body corporate</w:t>
      </w:r>
      <w:r>
        <w:rPr>
          <w:rStyle w:val="16"/>
          <w:rFonts w:ascii="Times New Roman" w:hAnsi="Times New Roman" w:eastAsia="Times New Roman" w:cs="Times New Roman"/>
          <w:sz w:val="24"/>
          <w:szCs w:val="24"/>
        </w:rPr>
        <w:footnoteReference w:id="107"/>
      </w:r>
      <w:r>
        <w:rPr>
          <w:rFonts w:ascii="Times New Roman" w:hAnsi="Times New Roman" w:eastAsia="Times New Roman" w:cs="Times New Roman"/>
          <w:sz w:val="24"/>
          <w:szCs w:val="24"/>
        </w:rPr>
        <w:t xml:space="preserve"> and its functions and powers are set out in the NCS Act 2023. The act also creates a Governing Board.</w:t>
      </w:r>
      <w:r>
        <w:rPr>
          <w:rStyle w:val="16"/>
          <w:rFonts w:ascii="Times New Roman" w:hAnsi="Times New Roman" w:eastAsia="Times New Roman" w:cs="Times New Roman"/>
          <w:sz w:val="24"/>
          <w:szCs w:val="24"/>
        </w:rPr>
        <w:footnoteReference w:id="108"/>
      </w:r>
      <w:r>
        <w:rPr>
          <w:rFonts w:ascii="Times New Roman" w:hAnsi="Times New Roman" w:eastAsia="Times New Roman" w:cs="Times New Roman"/>
          <w:sz w:val="24"/>
          <w:szCs w:val="24"/>
        </w:rPr>
        <w:t xml:space="preserve"> The Board is chaired by the Minister of Finance</w:t>
      </w:r>
      <w:r>
        <w:rPr>
          <w:rStyle w:val="16"/>
          <w:rFonts w:ascii="Times New Roman" w:hAnsi="Times New Roman" w:eastAsia="Times New Roman" w:cs="Times New Roman"/>
          <w:sz w:val="24"/>
          <w:szCs w:val="24"/>
        </w:rPr>
        <w:footnoteReference w:id="109"/>
      </w:r>
      <w:r>
        <w:rPr>
          <w:rFonts w:ascii="Times New Roman" w:hAnsi="Times New Roman" w:eastAsia="Times New Roman" w:cs="Times New Roman"/>
          <w:sz w:val="24"/>
          <w:szCs w:val="24"/>
        </w:rPr>
        <w:t xml:space="preserve"> with the Comptroller-General as deputy.</w:t>
      </w:r>
      <w:r>
        <w:rPr>
          <w:rStyle w:val="16"/>
          <w:rFonts w:ascii="Times New Roman" w:hAnsi="Times New Roman" w:eastAsia="Times New Roman" w:cs="Times New Roman"/>
          <w:sz w:val="24"/>
          <w:szCs w:val="24"/>
        </w:rPr>
        <w:footnoteReference w:id="110"/>
      </w:r>
      <w:r>
        <w:rPr>
          <w:rFonts w:ascii="Times New Roman" w:hAnsi="Times New Roman" w:eastAsia="Times New Roman" w:cs="Times New Roman"/>
          <w:sz w:val="24"/>
          <w:szCs w:val="24"/>
        </w:rPr>
        <w:t xml:space="preserve"> In institutional terms, NCS is a revenue institution (through duties, border charges, and enforcement against smuggling) and a trade facilitation institution. When customs officials enforce rules in a very strict or unpredictable way, it increases the cost or difficulty of moving goods across borders. Tinubu-era reforms aim to broaden the tax base and modernise administration. However, revenue remains crucial. As reforms increase domestic compliance (e-invoicing, data-matching), businesses will also demand predictable border administration; otherwise, the gains from the “ease of doing business” which was made possible through tax simplification are neutralised by customs friction.</w:t>
      </w:r>
    </w:p>
    <w:p w14:paraId="2FBF3C72">
      <w:pPr>
        <w:pStyle w:val="4"/>
      </w:pPr>
      <w:bookmarkStart w:id="47" w:name="_Toc233686216"/>
      <w:r>
        <w:t xml:space="preserve">3.2.9 </w:t>
      </w:r>
      <w:r>
        <w:tab/>
      </w:r>
      <w:r>
        <w:t>The Judiciary</w:t>
      </w:r>
      <w:bookmarkEnd w:id="47"/>
    </w:p>
    <w:p w14:paraId="5E92DED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judiciary protects against unlawful taxation. Section 251(1)(a) of the Constitution gives the </w:t>
      </w:r>
      <w:r>
        <w:rPr>
          <w:rFonts w:ascii="Times New Roman" w:hAnsi="Times New Roman" w:eastAsia="Times New Roman" w:cs="Times New Roman"/>
          <w:bCs/>
          <w:sz w:val="24"/>
          <w:szCs w:val="24"/>
        </w:rPr>
        <w:t>Federal High Court</w:t>
      </w:r>
      <w:r>
        <w:rPr>
          <w:rFonts w:ascii="Times New Roman" w:hAnsi="Times New Roman" w:eastAsia="Times New Roman" w:cs="Times New Roman"/>
          <w:sz w:val="24"/>
          <w:szCs w:val="24"/>
        </w:rPr>
        <w:t xml:space="preserve"> exclusive jurisdiction in civil matters which relate to the revenue of the Federation where the federal government or its organs are parties. Section 251(1)(b) extends this to matters with federal taxation of companies and bodies which carry on business in Nigeria. Even when statutes appear clear, courts reshape compliance through interpretation. In </w:t>
      </w:r>
      <w:r>
        <w:rPr>
          <w:rFonts w:ascii="Times New Roman" w:hAnsi="Times New Roman" w:eastAsia="Times New Roman" w:cs="Times New Roman"/>
          <w:bCs/>
          <w:sz w:val="24"/>
          <w:szCs w:val="24"/>
        </w:rPr>
        <w:t>Vodacom Business Nigeria Ltd v FIRS</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111"/>
      </w:r>
      <w:r>
        <w:rPr>
          <w:rFonts w:ascii="Times New Roman" w:hAnsi="Times New Roman" w:eastAsia="Times New Roman" w:cs="Times New Roman"/>
          <w:sz w:val="24"/>
          <w:szCs w:val="24"/>
        </w:rPr>
        <w:t xml:space="preserve"> the Court of Appeal held that an individual in Nigeria who received imported services could be required to self-assess and remit VAT. This reinforces the logic that “tax follows consumption in Nigeria” even where the supplier is a non-resident. In essence, judicial interpretation becomes an even more importane where reforms enforcement powers.</w:t>
      </w:r>
    </w:p>
    <w:p w14:paraId="46AC3088">
      <w:pPr>
        <w:pStyle w:val="4"/>
      </w:pPr>
      <w:bookmarkStart w:id="48" w:name="_Toc233686217"/>
      <w:r>
        <w:t xml:space="preserve">3.2.10 </w:t>
      </w:r>
      <w:r>
        <w:tab/>
      </w:r>
      <w:r>
        <w:t>Presidential Committee on Fiscal Policy and Tax Reforms (PFPTRC)</w:t>
      </w:r>
      <w:bookmarkEnd w:id="48"/>
    </w:p>
    <w:p w14:paraId="36D84B11">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PFPTRC is the technocratic driver and it framed many “reform narratives” later embodied in the 2025 Acts. Its relevance is institutional because it shaped the architecture that produced the NTA, NTAA, NRSA, and JRB Act.</w:t>
      </w:r>
      <w:r>
        <w:rPr>
          <w:rStyle w:val="16"/>
          <w:rFonts w:ascii="Times New Roman" w:hAnsi="Times New Roman" w:eastAsia="Times New Roman" w:cs="Times New Roman"/>
          <w:sz w:val="24"/>
          <w:szCs w:val="24"/>
        </w:rPr>
        <w:footnoteReference w:id="112"/>
      </w:r>
      <w:r>
        <w:rPr>
          <w:rFonts w:ascii="Times New Roman" w:hAnsi="Times New Roman" w:eastAsia="Times New Roman" w:cs="Times New Roman"/>
          <w:sz w:val="24"/>
          <w:szCs w:val="24"/>
        </w:rPr>
        <w:t xml:space="preserve"> Committees produce coherent drafts. However, legitimacy depends on public and stakeholder acceptance. Where reforms are perceived as elite-designed extraction during hardship, compliance becomes morally contested. That is why the implementation phase (commencing 1 January 2026) generated political tensions and accusations about enforcement powers. There was even the perception of “tax authoritarianism” and this is enough to weaken the culture of compliance.</w:t>
      </w:r>
      <w:r>
        <w:rPr>
          <w:rStyle w:val="16"/>
          <w:rFonts w:ascii="Times New Roman" w:hAnsi="Times New Roman" w:eastAsia="Times New Roman" w:cs="Times New Roman"/>
          <w:sz w:val="24"/>
          <w:szCs w:val="24"/>
        </w:rPr>
        <w:footnoteReference w:id="113"/>
      </w:r>
      <w:r>
        <w:rPr>
          <w:rFonts w:ascii="Times New Roman" w:hAnsi="Times New Roman" w:eastAsia="Times New Roman" w:cs="Times New Roman"/>
          <w:sz w:val="24"/>
          <w:szCs w:val="24"/>
        </w:rPr>
        <w:t xml:space="preserve"> </w:t>
      </w:r>
    </w:p>
    <w:p w14:paraId="5A23A6F1">
      <w:pPr>
        <w:spacing w:line="480" w:lineRule="auto"/>
        <w:jc w:val="both"/>
        <w:rPr>
          <w:rFonts w:ascii="Times New Roman" w:hAnsi="Times New Roman" w:cs="Times New Roman"/>
          <w:sz w:val="24"/>
          <w:szCs w:val="24"/>
        </w:rPr>
      </w:pPr>
    </w:p>
    <w:p w14:paraId="23301EC1">
      <w:pPr>
        <w:spacing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br w:type="page"/>
      </w:r>
    </w:p>
    <w:p w14:paraId="1930368D">
      <w:pPr>
        <w:pStyle w:val="2"/>
      </w:pPr>
      <w:bookmarkStart w:id="49" w:name="_Toc233686218"/>
      <w:r>
        <w:t>CHAPTER FOUR</w:t>
      </w:r>
      <w:bookmarkEnd w:id="49"/>
    </w:p>
    <w:p w14:paraId="11B1BC96">
      <w:pPr>
        <w:pStyle w:val="2"/>
      </w:pPr>
      <w:bookmarkStart w:id="50" w:name="_Toc233686219"/>
      <w:r>
        <w:t>EXAMINING THE TAX REFORMS UNDER THE AHMED TINUBU’S ADMINISTRATION IN NIGERIA</w:t>
      </w:r>
      <w:bookmarkEnd w:id="50"/>
    </w:p>
    <w:p w14:paraId="2073F2AB">
      <w:pPr>
        <w:pStyle w:val="3"/>
        <w:rPr>
          <w:kern w:val="36"/>
        </w:rPr>
      </w:pPr>
      <w:bookmarkStart w:id="51" w:name="_Toc233686220"/>
      <w:r>
        <w:rPr>
          <w:kern w:val="36"/>
        </w:rPr>
        <w:t xml:space="preserve">4.1 </w:t>
      </w:r>
      <w:r>
        <w:rPr>
          <w:kern w:val="36"/>
        </w:rPr>
        <w:tab/>
      </w:r>
      <w:r>
        <w:rPr>
          <w:kern w:val="36"/>
        </w:rPr>
        <w:t>Tax Reforms under the Ahmed Tinubu’s Administration in Nigeria</w:t>
      </w:r>
      <w:bookmarkEnd w:id="51"/>
    </w:p>
    <w:p w14:paraId="21D66BA7">
      <w:pPr>
        <w:spacing w:line="480" w:lineRule="auto"/>
        <w:jc w:val="both"/>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t xml:space="preserve">This section examines the tax reforms under the Ahmed Tinubu’s Administration in Nigeria </w:t>
      </w:r>
    </w:p>
    <w:p w14:paraId="7597F9C2">
      <w:pPr>
        <w:pStyle w:val="4"/>
      </w:pPr>
      <w:bookmarkStart w:id="52" w:name="_Toc233686221"/>
      <w:r>
        <w:t xml:space="preserve">4.1.1 </w:t>
      </w:r>
      <w:r>
        <w:tab/>
      </w:r>
      <w:r>
        <w:t>Enactment of a new “Tax Reform Acts” package</w:t>
      </w:r>
      <w:bookmarkEnd w:id="52"/>
    </w:p>
    <w:p w14:paraId="1CB88BE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reforms are framed commonly around four statutes enacted in June 2025.</w:t>
      </w:r>
    </w:p>
    <w:p w14:paraId="141FA53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Nigeria Tax Act (NTA) 2025</w:t>
      </w:r>
      <w:r>
        <w:rPr>
          <w:rFonts w:ascii="Times New Roman" w:hAnsi="Times New Roman" w:eastAsia="Times New Roman" w:cs="Times New Roman"/>
          <w:sz w:val="24"/>
          <w:szCs w:val="24"/>
        </w:rPr>
        <w:t xml:space="preserve">: this consolidated substantive tax rules into a unified framework; </w:t>
      </w:r>
    </w:p>
    <w:p w14:paraId="4E5B7D8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Nigeria Tax Administration Act (NTAA) 2025</w:t>
      </w:r>
      <w:r>
        <w:rPr>
          <w:rFonts w:ascii="Times New Roman" w:hAnsi="Times New Roman" w:eastAsia="Times New Roman" w:cs="Times New Roman"/>
          <w:sz w:val="24"/>
          <w:szCs w:val="24"/>
        </w:rPr>
        <w:t xml:space="preserve">: this harmonised tax administration procedures, powers, penalties, enforcement and compliance mechanisms across tiers; </w:t>
      </w:r>
    </w:p>
    <w:p w14:paraId="751FC6C4">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Nigeria Revenue Service (Establishment) Act 2025</w:t>
      </w:r>
      <w:r>
        <w:rPr>
          <w:rFonts w:ascii="Times New Roman" w:hAnsi="Times New Roman" w:eastAsia="Times New Roman" w:cs="Times New Roman"/>
          <w:sz w:val="24"/>
          <w:szCs w:val="24"/>
        </w:rPr>
        <w:t xml:space="preserve">: this reconstituted/rebranded FIRS into the Nigeria Revenue Service (NRS) as the core federal revenue authority; </w:t>
      </w:r>
    </w:p>
    <w:p w14:paraId="07462004">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Joint Revenue Board Establishment Act (JRBA/JREA) 2025</w:t>
      </w:r>
      <w:r>
        <w:rPr>
          <w:rFonts w:ascii="Times New Roman" w:hAnsi="Times New Roman" w:eastAsia="Times New Roman" w:cs="Times New Roman"/>
          <w:sz w:val="24"/>
          <w:szCs w:val="24"/>
        </w:rPr>
        <w:t>: this established the Joint Revenue Board and it strengthened dispute resolution through TAT. In addition, it introduced the Office of the Tax Ombud.</w:t>
      </w:r>
    </w:p>
    <w:p w14:paraId="53053EF1">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Consolidation</w:t>
      </w:r>
      <w:r>
        <w:rPr>
          <w:rFonts w:ascii="Times New Roman" w:hAnsi="Times New Roman" w:eastAsia="Times New Roman" w:cs="Times New Roman"/>
          <w:sz w:val="24"/>
          <w:szCs w:val="24"/>
        </w:rPr>
        <w:t xml:space="preserve"> is attractive because the tax landscape in Nigeria is fragmented. There are overlapping statutes and inconsistent administration. In addition, there are “multiple taxation” at subnational levels. Hence, it is argued that a unified legal framework improves clarity and reduces friction in compliance. But, there are uncertainty in transition after consolidation. Consequently, when older statutes are repealed/amended and new definitions introduced, disputes multiply over what survives.</w:t>
      </w:r>
      <w:r>
        <w:rPr>
          <w:rStyle w:val="16"/>
          <w:rFonts w:ascii="Times New Roman" w:hAnsi="Times New Roman" w:eastAsia="Times New Roman" w:cs="Times New Roman"/>
          <w:sz w:val="24"/>
          <w:szCs w:val="24"/>
        </w:rPr>
        <w:footnoteReference w:id="114"/>
      </w:r>
      <w:r>
        <w:rPr>
          <w:rFonts w:ascii="Times New Roman" w:hAnsi="Times New Roman" w:eastAsia="Times New Roman" w:cs="Times New Roman"/>
          <w:sz w:val="24"/>
          <w:szCs w:val="24"/>
        </w:rPr>
        <w:t xml:space="preserve"> In tax, uncertainty is not neutral. It incentivises arbitrary enforcement on one hand. On the other hand, it leads to avoidance. Moreover, it was alleged (from opposition lawmakers) that the </w:t>
      </w:r>
      <w:r>
        <w:rPr>
          <w:rFonts w:ascii="Times New Roman" w:hAnsi="Times New Roman" w:eastAsia="Times New Roman" w:cs="Times New Roman"/>
          <w:bCs/>
          <w:sz w:val="24"/>
          <w:szCs w:val="24"/>
        </w:rPr>
        <w:t>gazetted</w:t>
      </w:r>
      <w:r>
        <w:rPr>
          <w:rFonts w:ascii="Times New Roman" w:hAnsi="Times New Roman" w:eastAsia="Times New Roman" w:cs="Times New Roman"/>
          <w:sz w:val="24"/>
          <w:szCs w:val="24"/>
        </w:rPr>
        <w:t xml:space="preserve"> version of new tax laws contained additions not passed by parliament. This includes claims of excessive powers.</w:t>
      </w:r>
      <w:r>
        <w:rPr>
          <w:rStyle w:val="16"/>
          <w:rFonts w:ascii="Times New Roman" w:hAnsi="Times New Roman" w:eastAsia="Times New Roman" w:cs="Times New Roman"/>
          <w:sz w:val="24"/>
          <w:szCs w:val="24"/>
        </w:rPr>
        <w:footnoteReference w:id="115"/>
      </w:r>
      <w:r>
        <w:rPr>
          <w:rFonts w:ascii="Times New Roman" w:hAnsi="Times New Roman" w:eastAsia="Times New Roman" w:cs="Times New Roman"/>
          <w:sz w:val="24"/>
          <w:szCs w:val="24"/>
        </w:rPr>
        <w:t xml:space="preserve"> Even if disputed, this episode is instructive. </w:t>
      </w:r>
      <w:r>
        <w:rPr>
          <w:rFonts w:ascii="Times New Roman" w:hAnsi="Times New Roman" w:eastAsia="Times New Roman" w:cs="Times New Roman"/>
          <w:bCs/>
          <w:sz w:val="24"/>
          <w:szCs w:val="24"/>
        </w:rPr>
        <w:t>Tax reform fails when citizens perceive it as coercion.</w:t>
      </w:r>
    </w:p>
    <w:p w14:paraId="7174E25F">
      <w:pPr>
        <w:pStyle w:val="4"/>
      </w:pPr>
      <w:bookmarkStart w:id="53" w:name="_Toc233686222"/>
      <w:r>
        <w:t xml:space="preserve">4.1.2 </w:t>
      </w:r>
      <w:r>
        <w:tab/>
      </w:r>
      <w:r>
        <w:t>VAT reforms</w:t>
      </w:r>
      <w:bookmarkEnd w:id="53"/>
    </w:p>
    <w:p w14:paraId="4DDA5D0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VAT reforms are among the most sensitive changes because VAT touches everyday consumption. In Nigeria, consumption taxes also implicate fiscal federalism (who should administer/collect and how proceeds should be shared). </w:t>
      </w:r>
      <w:r>
        <w:rPr>
          <w:rFonts w:ascii="Times New Roman" w:hAnsi="Times New Roman" w:eastAsia="Times New Roman" w:cs="Times New Roman"/>
          <w:bCs/>
          <w:sz w:val="24"/>
          <w:szCs w:val="24"/>
        </w:rPr>
        <w:t xml:space="preserve">Under consumption taxes, there have been debates about “covering the field,” and double taxation. </w:t>
      </w:r>
      <w:r>
        <w:rPr>
          <w:rFonts w:ascii="Times New Roman" w:hAnsi="Times New Roman" w:eastAsia="Times New Roman" w:cs="Times New Roman"/>
          <w:sz w:val="24"/>
          <w:szCs w:val="24"/>
        </w:rPr>
        <w:t xml:space="preserve">Two foundational Nigerian authorities frame this debate. In </w:t>
      </w:r>
      <w:r>
        <w:rPr>
          <w:rFonts w:ascii="Times New Roman" w:hAnsi="Times New Roman" w:eastAsia="Times New Roman" w:cs="Times New Roman"/>
          <w:bCs/>
          <w:sz w:val="24"/>
          <w:szCs w:val="24"/>
        </w:rPr>
        <w:t>A-G Ogun State v Aberuagba,</w:t>
      </w:r>
      <w:r>
        <w:rPr>
          <w:rStyle w:val="16"/>
          <w:rFonts w:ascii="Times New Roman" w:hAnsi="Times New Roman" w:eastAsia="Times New Roman" w:cs="Times New Roman"/>
          <w:sz w:val="24"/>
          <w:szCs w:val="24"/>
        </w:rPr>
        <w:footnoteReference w:id="116"/>
      </w:r>
      <w:r>
        <w:rPr>
          <w:rFonts w:ascii="Times New Roman" w:hAnsi="Times New Roman" w:eastAsia="Times New Roman" w:cs="Times New Roman"/>
          <w:sz w:val="24"/>
          <w:szCs w:val="24"/>
        </w:rPr>
        <w:t xml:space="preserve"> the Supreme Court invalidated aspects of Ogun State’s sales tax law because it intruded into inter-state trade/commerce and conflicted with federal competence over price-controlled goods. The case is cited for restraining state consumption tax reach where it impacts inter-state commerce/federal competence. On the other hand, in, </w:t>
      </w:r>
      <w:r>
        <w:rPr>
          <w:rFonts w:ascii="Times New Roman" w:hAnsi="Times New Roman" w:eastAsia="Times New Roman" w:cs="Times New Roman"/>
          <w:bCs/>
          <w:sz w:val="24"/>
          <w:szCs w:val="24"/>
        </w:rPr>
        <w:t>A-G Lagos State v Eko Hotels Ltd,</w:t>
      </w:r>
      <w:r>
        <w:rPr>
          <w:rStyle w:val="16"/>
          <w:rFonts w:ascii="Times New Roman" w:hAnsi="Times New Roman" w:eastAsia="Times New Roman" w:cs="Times New Roman"/>
          <w:bCs/>
          <w:sz w:val="24"/>
          <w:szCs w:val="24"/>
        </w:rPr>
        <w:footnoteReference w:id="117"/>
      </w:r>
      <w:r>
        <w:rPr>
          <w:rFonts w:ascii="Times New Roman" w:hAnsi="Times New Roman" w:eastAsia="Times New Roman" w:cs="Times New Roman"/>
          <w:bCs/>
          <w:sz w:val="24"/>
          <w:szCs w:val="24"/>
        </w:rPr>
        <w:t xml:space="preserve"> (2017)</w:t>
      </w:r>
      <w:r>
        <w:rPr>
          <w:rFonts w:ascii="Times New Roman" w:hAnsi="Times New Roman" w:eastAsia="Times New Roman" w:cs="Times New Roman"/>
          <w:sz w:val="24"/>
          <w:szCs w:val="24"/>
        </w:rPr>
        <w:t xml:space="preserve">, the Supreme Court held that the federal VAT regime had “covered the field” on consumption tax. This applies to VAT and Lagos sales tax on the same supply would amount to double taxation, with consumers bearing the burden. </w:t>
      </w:r>
      <w:r>
        <w:rPr>
          <w:rFonts w:ascii="Times New Roman" w:hAnsi="Times New Roman" w:eastAsia="Times New Roman" w:cs="Times New Roman"/>
          <w:bCs/>
          <w:sz w:val="24"/>
          <w:szCs w:val="24"/>
        </w:rPr>
        <w:t>In essence, these debate indicate that</w:t>
      </w:r>
      <w:r>
        <w:rPr>
          <w:rFonts w:ascii="Times New Roman" w:hAnsi="Times New Roman" w:eastAsia="Times New Roman" w:cs="Times New Roman"/>
          <w:sz w:val="24"/>
          <w:szCs w:val="24"/>
        </w:rPr>
        <w:t xml:space="preserve"> consumption tax must not become a jurisdictional battleground which produces double levies. Where reforms introduce new VAT exemptions/zero-rating, they must be administered in a way that reduces (not multiplies) the burdens of compliance. </w:t>
      </w:r>
    </w:p>
    <w:p w14:paraId="38616658">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reform also expands VAT relief on certain essential goods/services. There are </w:t>
      </w:r>
      <w:r>
        <w:rPr>
          <w:rFonts w:ascii="Times New Roman" w:hAnsi="Times New Roman" w:eastAsia="Times New Roman" w:cs="Times New Roman"/>
          <w:bCs/>
          <w:sz w:val="24"/>
          <w:szCs w:val="24"/>
        </w:rPr>
        <w:t>exemptions/zero-rating of “essential” items</w:t>
      </w:r>
      <w:r>
        <w:rPr>
          <w:rFonts w:ascii="Times New Roman" w:hAnsi="Times New Roman" w:eastAsia="Times New Roman" w:cs="Times New Roman"/>
          <w:sz w:val="24"/>
          <w:szCs w:val="24"/>
        </w:rPr>
        <w:t xml:space="preserve"> these includes sanitary products, tuition-related supplies, electricity/energy categories, medical/pharmaceutical items and certain exports, among others.</w:t>
      </w:r>
      <w:r>
        <w:rPr>
          <w:rStyle w:val="16"/>
          <w:rFonts w:ascii="Times New Roman" w:hAnsi="Times New Roman" w:eastAsia="Times New Roman" w:cs="Times New Roman"/>
          <w:sz w:val="24"/>
          <w:szCs w:val="24"/>
        </w:rPr>
        <w:footnoteReference w:id="118"/>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Indeed, </w:t>
      </w:r>
      <w:r>
        <w:rPr>
          <w:rFonts w:ascii="Times New Roman" w:hAnsi="Times New Roman" w:eastAsia="Times New Roman" w:cs="Times New Roman"/>
          <w:sz w:val="24"/>
          <w:szCs w:val="24"/>
        </w:rPr>
        <w:t>Socially, exempting essentials soften VAT regressivity and address equity concerns. Administratively, however, expanded exemption lists create classification disputes.</w:t>
      </w:r>
      <w:r>
        <w:rPr>
          <w:rStyle w:val="16"/>
          <w:rFonts w:ascii="Times New Roman" w:hAnsi="Times New Roman" w:eastAsia="Times New Roman" w:cs="Times New Roman"/>
          <w:sz w:val="24"/>
          <w:szCs w:val="24"/>
        </w:rPr>
        <w:footnoteReference w:id="119"/>
      </w:r>
      <w:r>
        <w:rPr>
          <w:rFonts w:ascii="Times New Roman" w:hAnsi="Times New Roman" w:eastAsia="Times New Roman" w:cs="Times New Roman"/>
          <w:sz w:val="24"/>
          <w:szCs w:val="24"/>
        </w:rPr>
        <w:t xml:space="preserve"> It also raise “boundary shopping” risks (that is, re-characterising supplies) and increase conflicts in audit. Economically, undercut revenue when VAT base is narrowed unless it is offset by improved compliance and broader base elsewhere. Furthermore, a continuing doctrinal driver is the move toward recipient-based compliance for imported services (self-accounting/remittance). This is supported by appellate interpretation in </w:t>
      </w:r>
      <w:r>
        <w:rPr>
          <w:rFonts w:ascii="Times New Roman" w:hAnsi="Times New Roman" w:eastAsia="Times New Roman" w:cs="Times New Roman"/>
          <w:bCs/>
          <w:sz w:val="24"/>
          <w:szCs w:val="24"/>
        </w:rPr>
        <w:t>Vodacom Business Nigeria Ltd v FIRS</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120"/>
      </w:r>
      <w:r>
        <w:rPr>
          <w:rFonts w:ascii="Times New Roman" w:hAnsi="Times New Roman" w:eastAsia="Times New Roman" w:cs="Times New Roman"/>
          <w:sz w:val="24"/>
          <w:szCs w:val="24"/>
        </w:rPr>
        <w:t xml:space="preserve">  Vodacom, a Nigerian company, had purchased satellite bandwidth capacity from New Skies Satellites (NSS), a non-resident company based in the Netherlands, for use in Nigeria. However, NSS did not charge VAT and Vodacom also did not remit VAT on the transaction. After FIRS raised an additional VAT assessment, Vodacom argued that it had no duty to account for VAT because the foreign supplier was not registered for VAT in Nigeria and it had not issued a VAT invoice. The Court of Appeal rejected that argument and held that, since the service was supplied for use and consumption in Nigeria, it was liable to Nigerian VAT.  In addition, Vodacom as the Nigerian recipient had the obligation to self-account for and remit the VAT. Hence, it does not matter whether the non-resident supplier had issued a VAT invoice or registered for VAT in Nigeria. In essence, where the supplier is non-resident, the system shifts compliance to the resident recipient to reduce leakage. </w:t>
      </w:r>
      <w:r>
        <w:rPr>
          <w:rFonts w:ascii="Times New Roman" w:hAnsi="Times New Roman" w:eastAsia="Times New Roman" w:cs="Times New Roman"/>
          <w:bCs/>
          <w:sz w:val="24"/>
          <w:szCs w:val="24"/>
        </w:rPr>
        <w:t>However,</w:t>
      </w:r>
      <w:r>
        <w:rPr>
          <w:rFonts w:ascii="Times New Roman" w:hAnsi="Times New Roman" w:eastAsia="Times New Roman" w:cs="Times New Roman"/>
          <w:sz w:val="24"/>
          <w:szCs w:val="24"/>
        </w:rPr>
        <w:t xml:space="preserve"> the question is whether Nigerian SMEs can comply with complex reverse-charge rules without professional support which are costly. </w:t>
      </w:r>
    </w:p>
    <w:p w14:paraId="16FABF26">
      <w:pPr>
        <w:pStyle w:val="4"/>
      </w:pPr>
      <w:bookmarkStart w:id="54" w:name="_Toc233686223"/>
      <w:r>
        <w:t xml:space="preserve">4.1.3 </w:t>
      </w:r>
      <w:r>
        <w:tab/>
      </w:r>
      <w:r>
        <w:t>Income and capital gains reforms</w:t>
      </w:r>
      <w:bookmarkEnd w:id="54"/>
    </w:p>
    <w:p w14:paraId="356C12AB">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Chargeable gains are now taxed under progressive personal income tax rates (up to 25%), not the flat CGT rate.</w:t>
      </w:r>
      <w:r>
        <w:rPr>
          <w:rStyle w:val="16"/>
          <w:rFonts w:ascii="Times New Roman" w:hAnsi="Times New Roman" w:eastAsia="Times New Roman" w:cs="Times New Roman"/>
          <w:sz w:val="24"/>
          <w:szCs w:val="24"/>
        </w:rPr>
        <w:footnoteReference w:id="121"/>
      </w:r>
      <w:r>
        <w:rPr>
          <w:rFonts w:ascii="Times New Roman" w:hAnsi="Times New Roman" w:eastAsia="Times New Roman" w:cs="Times New Roman"/>
          <w:sz w:val="24"/>
          <w:szCs w:val="24"/>
        </w:rPr>
        <w:t xml:space="preserve"> In addition, gains from digital/virtual assets have been brought into the tax net,</w:t>
      </w:r>
      <w:r>
        <w:rPr>
          <w:rStyle w:val="16"/>
          <w:rFonts w:ascii="Times New Roman" w:hAnsi="Times New Roman" w:eastAsia="Times New Roman" w:cs="Times New Roman"/>
          <w:sz w:val="24"/>
          <w:szCs w:val="24"/>
        </w:rPr>
        <w:footnoteReference w:id="122"/>
      </w:r>
      <w:r>
        <w:rPr>
          <w:rFonts w:ascii="Times New Roman" w:hAnsi="Times New Roman" w:eastAsia="Times New Roman" w:cs="Times New Roman"/>
          <w:sz w:val="24"/>
          <w:szCs w:val="24"/>
        </w:rPr>
        <w:t xml:space="preserve"> with specified exemptions (for example, private residences and limited chattels/vehicles). Progressive rates may align better with distributive justice (ability-to-pay principle). It is difficult to disclose or value digital assets. Hence, Enforcement may drive intrusive demands for data and this raises concerns about privacy. More so, “taxable gain” becomes contestable without clear rules. </w:t>
      </w:r>
      <w:r>
        <w:rPr>
          <w:rFonts w:ascii="Times New Roman" w:hAnsi="Times New Roman" w:eastAsia="Times New Roman" w:cs="Times New Roman"/>
          <w:bCs/>
          <w:sz w:val="24"/>
          <w:szCs w:val="24"/>
        </w:rPr>
        <w:t xml:space="preserve">Going further, </w:t>
      </w:r>
      <w:r>
        <w:rPr>
          <w:rFonts w:ascii="Times New Roman" w:hAnsi="Times New Roman" w:eastAsia="Times New Roman" w:cs="Times New Roman"/>
          <w:sz w:val="24"/>
          <w:szCs w:val="24"/>
        </w:rPr>
        <w:t>legislative debates around the reform bills included references to global minimum tax alignment for multinationals above specified thresholds. Reuters reported features such as global minimum tax proposals and adjustments during parliamentary passage.</w:t>
      </w:r>
      <w:r>
        <w:rPr>
          <w:rStyle w:val="16"/>
          <w:rFonts w:ascii="Times New Roman" w:hAnsi="Times New Roman" w:eastAsia="Times New Roman" w:cs="Times New Roman"/>
          <w:sz w:val="24"/>
          <w:szCs w:val="24"/>
        </w:rPr>
        <w:footnoteReference w:id="123"/>
      </w:r>
      <w:r>
        <w:rPr>
          <w:rFonts w:ascii="Times New Roman" w:hAnsi="Times New Roman" w:eastAsia="Times New Roman" w:cs="Times New Roman"/>
          <w:sz w:val="24"/>
          <w:szCs w:val="24"/>
        </w:rPr>
        <w:t xml:space="preserve"> Adopting such rules in Nigeria will be judged by whether it expands revenue </w:t>
      </w:r>
      <w:r>
        <w:rPr>
          <w:rFonts w:ascii="Times New Roman" w:hAnsi="Times New Roman" w:eastAsia="Times New Roman" w:cs="Times New Roman"/>
          <w:bCs/>
          <w:sz w:val="24"/>
          <w:szCs w:val="24"/>
        </w:rPr>
        <w:t>without</w:t>
      </w:r>
      <w:r>
        <w:rPr>
          <w:rFonts w:ascii="Times New Roman" w:hAnsi="Times New Roman" w:eastAsia="Times New Roman" w:cs="Times New Roman"/>
          <w:sz w:val="24"/>
          <w:szCs w:val="24"/>
        </w:rPr>
        <w:t xml:space="preserve"> discouraging investment through unpredictable administration.</w:t>
      </w:r>
    </w:p>
    <w:p w14:paraId="0F92922B">
      <w:pPr>
        <w:pStyle w:val="4"/>
      </w:pPr>
      <w:bookmarkStart w:id="55" w:name="_Toc233686224"/>
      <w:r>
        <w:t xml:space="preserve">4.1.4 </w:t>
      </w:r>
      <w:r>
        <w:tab/>
      </w:r>
      <w:r>
        <w:t>Institutional reform</w:t>
      </w:r>
      <w:bookmarkEnd w:id="55"/>
    </w:p>
    <w:p w14:paraId="02ACA01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Nigeria Revenue Service (Establishment) Act 2025 rebrands FIRS</w:t>
      </w:r>
      <w:r>
        <w:rPr>
          <w:rStyle w:val="16"/>
          <w:rFonts w:ascii="Times New Roman" w:hAnsi="Times New Roman" w:eastAsia="Times New Roman" w:cs="Times New Roman"/>
          <w:sz w:val="24"/>
          <w:szCs w:val="24"/>
        </w:rPr>
        <w:footnoteReference w:id="124"/>
      </w:r>
      <w:r>
        <w:rPr>
          <w:rFonts w:ascii="Times New Roman" w:hAnsi="Times New Roman" w:eastAsia="Times New Roman" w:cs="Times New Roman"/>
          <w:sz w:val="24"/>
          <w:szCs w:val="24"/>
        </w:rPr>
        <w:t xml:space="preserve"> as NRS and positions it as the central authority to assess, collect, and account for federal revenues.</w:t>
      </w:r>
      <w:r>
        <w:rPr>
          <w:rStyle w:val="16"/>
          <w:rFonts w:ascii="Times New Roman" w:hAnsi="Times New Roman" w:eastAsia="Times New Roman" w:cs="Times New Roman"/>
          <w:sz w:val="24"/>
          <w:szCs w:val="24"/>
        </w:rPr>
        <w:footnoteReference w:id="125"/>
      </w:r>
      <w:r>
        <w:rPr>
          <w:rFonts w:ascii="Times New Roman" w:hAnsi="Times New Roman" w:eastAsia="Times New Roman" w:cs="Times New Roman"/>
          <w:sz w:val="24"/>
          <w:szCs w:val="24"/>
        </w:rPr>
        <w:t xml:space="preserve"> This aims to improve compliance and reduce leakages. Indeed, a centralised revenue authority reduce duplication and standardise enforcement. But Nigeria is a federation. A powerful central collector may be perceived by states as fiscal domination where VAT proceeds are contested politically. That is why the legitimacy of NRS depends on </w:t>
      </w:r>
      <w:r>
        <w:rPr>
          <w:rFonts w:ascii="Times New Roman" w:hAnsi="Times New Roman" w:eastAsia="Times New Roman" w:cs="Times New Roman"/>
          <w:iCs/>
          <w:sz w:val="24"/>
          <w:szCs w:val="24"/>
        </w:rPr>
        <w:t>how</w:t>
      </w:r>
      <w:r>
        <w:rPr>
          <w:rFonts w:ascii="Times New Roman" w:hAnsi="Times New Roman" w:eastAsia="Times New Roman" w:cs="Times New Roman"/>
          <w:sz w:val="24"/>
          <w:szCs w:val="24"/>
        </w:rPr>
        <w:t xml:space="preserve"> it cooperates with states through coordination mechanisms (JRB), not through unilateral administrative expansion. The reform tries to balance the strength of NRS with dispute institutions (TAT and Tax Ombud) under the Joint Revenue Board Establishment framework. The Supreme Court in </w:t>
      </w:r>
      <w:r>
        <w:rPr>
          <w:rFonts w:ascii="Times New Roman" w:hAnsi="Times New Roman" w:eastAsia="Times New Roman" w:cs="Times New Roman"/>
          <w:bCs/>
          <w:sz w:val="24"/>
          <w:szCs w:val="24"/>
        </w:rPr>
        <w:t>TSKJ Construcoes Internacional v FIRS</w:t>
      </w:r>
      <w:r>
        <w:rPr>
          <w:rStyle w:val="16"/>
          <w:rFonts w:ascii="Times New Roman" w:hAnsi="Times New Roman" w:eastAsia="Times New Roman" w:cs="Times New Roman"/>
          <w:bCs/>
          <w:sz w:val="24"/>
          <w:szCs w:val="24"/>
        </w:rPr>
        <w:footnoteReference w:id="126"/>
      </w:r>
      <w:r>
        <w:rPr>
          <w:rFonts w:ascii="Times New Roman" w:hAnsi="Times New Roman" w:eastAsia="Times New Roman" w:cs="Times New Roman"/>
          <w:bCs/>
          <w:sz w:val="24"/>
          <w:szCs w:val="24"/>
        </w:rPr>
        <w:t xml:space="preserve"> </w:t>
      </w:r>
      <w:r>
        <w:rPr>
          <w:rFonts w:ascii="Times New Roman" w:hAnsi="Times New Roman" w:eastAsia="Times New Roman" w:cs="Times New Roman"/>
          <w:sz w:val="24"/>
          <w:szCs w:val="24"/>
        </w:rPr>
        <w:t>affirmed that TAT is an administrative/quasi-judicial body that operates as a condition precedent. It is not a rival to the jurisdiction of the Federal High Court. However, taxpayers are expected to follow statutory pathways for dispute resolution. Even so, tax authorities must also act within law.</w:t>
      </w:r>
    </w:p>
    <w:p w14:paraId="6A1DCA36">
      <w:pPr>
        <w:pStyle w:val="4"/>
      </w:pPr>
      <w:bookmarkStart w:id="56" w:name="_Toc233686225"/>
      <w:r>
        <w:t xml:space="preserve">4.1.5 </w:t>
      </w:r>
      <w:r>
        <w:tab/>
      </w:r>
      <w:r>
        <w:t>Tax administration reforms</w:t>
      </w:r>
      <w:bookmarkEnd w:id="56"/>
    </w:p>
    <w:p w14:paraId="18C3C19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explanatory memorandum of the NTAA states that it provides a uniform procedure for consistent and efficient administration to facilitate compliance and optimise revenue. It provides for taxpayer registration</w:t>
      </w:r>
      <w:r>
        <w:rPr>
          <w:rStyle w:val="16"/>
          <w:rFonts w:ascii="Times New Roman" w:hAnsi="Times New Roman" w:eastAsia="Times New Roman" w:cs="Times New Roman"/>
          <w:sz w:val="24"/>
          <w:szCs w:val="24"/>
        </w:rPr>
        <w:footnoteReference w:id="127"/>
      </w:r>
      <w:r>
        <w:rPr>
          <w:rFonts w:ascii="Times New Roman" w:hAnsi="Times New Roman" w:eastAsia="Times New Roman" w:cs="Times New Roman"/>
          <w:sz w:val="24"/>
          <w:szCs w:val="24"/>
        </w:rPr>
        <w:t xml:space="preserve"> and TIN structure</w:t>
      </w:r>
      <w:r>
        <w:rPr>
          <w:rStyle w:val="16"/>
          <w:rFonts w:ascii="Times New Roman" w:hAnsi="Times New Roman" w:eastAsia="Times New Roman" w:cs="Times New Roman"/>
          <w:sz w:val="24"/>
          <w:szCs w:val="24"/>
        </w:rPr>
        <w:footnoteReference w:id="128"/>
      </w:r>
      <w:r>
        <w:rPr>
          <w:rFonts w:ascii="Times New Roman" w:hAnsi="Times New Roman" w:eastAsia="Times New Roman" w:cs="Times New Roman"/>
          <w:sz w:val="24"/>
          <w:szCs w:val="24"/>
        </w:rPr>
        <w:t xml:space="preserve"> and it harmonised administration across tiers. In addition, it provides clearer penalties and enforcement mechanisms.</w:t>
      </w:r>
      <w:r>
        <w:rPr>
          <w:rStyle w:val="16"/>
          <w:rFonts w:ascii="Times New Roman" w:hAnsi="Times New Roman" w:eastAsia="Times New Roman" w:cs="Times New Roman"/>
          <w:sz w:val="24"/>
          <w:szCs w:val="24"/>
        </w:rPr>
        <w:footnoteReference w:id="129"/>
      </w:r>
      <w:r>
        <w:rPr>
          <w:rFonts w:ascii="Times New Roman" w:hAnsi="Times New Roman" w:eastAsia="Times New Roman" w:cs="Times New Roman"/>
          <w:sz w:val="24"/>
          <w:szCs w:val="24"/>
        </w:rPr>
        <w:t xml:space="preserve"> It also establishes broader compliance infrastructure.</w:t>
      </w:r>
      <w:r>
        <w:rPr>
          <w:rStyle w:val="16"/>
          <w:rFonts w:ascii="Times New Roman" w:hAnsi="Times New Roman" w:eastAsia="Times New Roman" w:cs="Times New Roman"/>
          <w:sz w:val="24"/>
          <w:szCs w:val="24"/>
        </w:rPr>
        <w:footnoteReference w:id="130"/>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In Nigeria, the “administration problem” is the real tax problem. </w:t>
      </w:r>
      <w:r>
        <w:rPr>
          <w:rFonts w:ascii="Times New Roman" w:hAnsi="Times New Roman" w:eastAsia="Times New Roman" w:cs="Times New Roman"/>
          <w:sz w:val="24"/>
          <w:szCs w:val="24"/>
        </w:rPr>
        <w:t>Taxpayer pain often comes less from tax rates and more from administration. A unified administration statute would reduce this if it limits discretion through clear steps and timelines and it ensures proper service of notices. In addition, it must also guarantees the right to object/appeal; and makes enforcement proportionate. On the other hand, it would worsen conditions if it expands enforcement powers without equally strengthening due process. That is why the 2025 “gazetted text” controversy should not be dismissed as politics. It reflects public anxiety about administrative abuse.</w:t>
      </w:r>
      <w:r>
        <w:rPr>
          <w:rStyle w:val="16"/>
          <w:rFonts w:ascii="Times New Roman" w:hAnsi="Times New Roman" w:eastAsia="Times New Roman" w:cs="Times New Roman"/>
          <w:sz w:val="24"/>
          <w:szCs w:val="24"/>
        </w:rPr>
        <w:footnoteReference w:id="131"/>
      </w:r>
      <w:r>
        <w:rPr>
          <w:rFonts w:ascii="Times New Roman" w:hAnsi="Times New Roman" w:eastAsia="Times New Roman" w:cs="Times New Roman"/>
          <w:sz w:val="24"/>
          <w:szCs w:val="24"/>
        </w:rPr>
        <w:t xml:space="preserve"> </w:t>
      </w:r>
    </w:p>
    <w:p w14:paraId="054A2AF2">
      <w:pPr>
        <w:pStyle w:val="4"/>
      </w:pPr>
      <w:bookmarkStart w:id="57" w:name="_Toc233686226"/>
      <w:r>
        <w:t xml:space="preserve">4.1.6 </w:t>
      </w:r>
      <w:r>
        <w:tab/>
      </w:r>
      <w:r>
        <w:t>National e-Invoicing / Electronic Fiscal System</w:t>
      </w:r>
      <w:bookmarkEnd w:id="57"/>
    </w:p>
    <w:p w14:paraId="6E671F0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E-invoicing is one of the most transformative reforms because it changes the state’s information position. It reduces under-reporting by requiring transactions to be recorded through approved electronic systems (often described as “fiscalisation”).  Nigeria introduced a National E-Invoicing Regime (Electronic Fiscal System) and this targeted </w:t>
      </w:r>
      <w:r>
        <w:rPr>
          <w:rFonts w:ascii="Times New Roman" w:hAnsi="Times New Roman" w:eastAsia="Times New Roman" w:cs="Times New Roman"/>
          <w:bCs/>
          <w:sz w:val="24"/>
          <w:szCs w:val="24"/>
        </w:rPr>
        <w:t>large taxpayers</w:t>
      </w:r>
      <w:r>
        <w:rPr>
          <w:rFonts w:ascii="Times New Roman" w:hAnsi="Times New Roman" w:eastAsia="Times New Roman" w:cs="Times New Roman"/>
          <w:sz w:val="24"/>
          <w:szCs w:val="24"/>
        </w:rPr>
        <w:t xml:space="preserve"> (turnover ₦5bn+) initially. It was onboarded mandatorily around August 2025 following a pilot phase.</w:t>
      </w:r>
      <w:r>
        <w:rPr>
          <w:rStyle w:val="16"/>
          <w:rFonts w:ascii="Times New Roman" w:hAnsi="Times New Roman" w:eastAsia="Times New Roman" w:cs="Times New Roman"/>
          <w:sz w:val="24"/>
          <w:szCs w:val="24"/>
        </w:rPr>
        <w:footnoteReference w:id="132"/>
      </w:r>
      <w:r>
        <w:rPr>
          <w:rFonts w:ascii="Times New Roman" w:hAnsi="Times New Roman" w:eastAsia="Times New Roman" w:cs="Times New Roman"/>
          <w:sz w:val="24"/>
          <w:szCs w:val="24"/>
        </w:rPr>
        <w:t xml:space="preserve"> The reformed law codifies VAT fiscalisation/e-invoicing rules and it provides penalties for non-compliance (including specified monetary penalties and interest linked to the policy rate). E-invoicing ecosystem in Nigeria is not only tax law. It intersects with ICT regulation. NITDA issued a </w:t>
      </w:r>
      <w:r>
        <w:rPr>
          <w:rFonts w:ascii="Times New Roman" w:hAnsi="Times New Roman" w:eastAsia="Times New Roman" w:cs="Times New Roman"/>
          <w:bCs/>
          <w:sz w:val="24"/>
          <w:szCs w:val="24"/>
        </w:rPr>
        <w:t>National Regulatory Guideline for Electronic Invoicing in Nigeria (2025)</w:t>
      </w:r>
      <w:r>
        <w:rPr>
          <w:rFonts w:ascii="Times New Roman" w:hAnsi="Times New Roman" w:eastAsia="Times New Roman" w:cs="Times New Roman"/>
          <w:sz w:val="24"/>
          <w:szCs w:val="24"/>
        </w:rPr>
        <w:t>. This includes rules for accrediting system integrators and standards for operating within the e-invoicing ecosystem.</w:t>
      </w:r>
      <w:r>
        <w:rPr>
          <w:rStyle w:val="16"/>
          <w:rFonts w:ascii="Times New Roman" w:hAnsi="Times New Roman" w:eastAsia="Times New Roman" w:cs="Times New Roman"/>
          <w:sz w:val="24"/>
          <w:szCs w:val="24"/>
        </w:rPr>
        <w:footnoteReference w:id="133"/>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The compliance revolution has winners and losers. Winners include </w:t>
      </w:r>
      <w:r>
        <w:rPr>
          <w:rFonts w:ascii="Times New Roman" w:hAnsi="Times New Roman" w:eastAsia="Times New Roman" w:cs="Times New Roman"/>
          <w:sz w:val="24"/>
          <w:szCs w:val="24"/>
        </w:rPr>
        <w:t xml:space="preserve">government (more visibility)and compliant corporates (level playing field). On the other hand, </w:t>
      </w:r>
      <w:r>
        <w:rPr>
          <w:rFonts w:ascii="Times New Roman" w:hAnsi="Times New Roman" w:eastAsia="Times New Roman" w:cs="Times New Roman"/>
          <w:bCs/>
          <w:sz w:val="24"/>
          <w:szCs w:val="24"/>
        </w:rPr>
        <w:t>Losers (if unmanaged) include</w:t>
      </w:r>
      <w:r>
        <w:rPr>
          <w:rFonts w:ascii="Times New Roman" w:hAnsi="Times New Roman" w:eastAsia="Times New Roman" w:cs="Times New Roman"/>
          <w:sz w:val="24"/>
          <w:szCs w:val="24"/>
        </w:rPr>
        <w:t xml:space="preserve"> SMEs with weak infrastructure, rural businesses, and firms with intermittent internet/power.</w:t>
      </w:r>
      <w:r>
        <w:rPr>
          <w:rStyle w:val="16"/>
          <w:rFonts w:ascii="Times New Roman" w:hAnsi="Times New Roman" w:eastAsia="Times New Roman" w:cs="Times New Roman"/>
          <w:sz w:val="24"/>
          <w:szCs w:val="24"/>
        </w:rPr>
        <w:footnoteReference w:id="134"/>
      </w:r>
    </w:p>
    <w:p w14:paraId="5F96F731">
      <w:pPr>
        <w:pStyle w:val="4"/>
      </w:pPr>
      <w:bookmarkStart w:id="58" w:name="_Toc233686227"/>
      <w:r>
        <w:t xml:space="preserve">4.1.7 </w:t>
      </w:r>
      <w:r>
        <w:tab/>
      </w:r>
      <w:r>
        <w:t>Withholding tax reform on short-term instruments</w:t>
      </w:r>
      <w:bookmarkEnd w:id="58"/>
    </w:p>
    <w:p w14:paraId="2DB466B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w:t>
      </w:r>
      <w:r>
        <w:rPr>
          <w:rFonts w:ascii="Times New Roman" w:hAnsi="Times New Roman" w:eastAsia="Times New Roman" w:cs="Times New Roman"/>
          <w:bCs/>
          <w:sz w:val="24"/>
          <w:szCs w:val="24"/>
        </w:rPr>
        <w:t>10% withholding tax</w:t>
      </w:r>
      <w:r>
        <w:rPr>
          <w:rFonts w:ascii="Times New Roman" w:hAnsi="Times New Roman" w:eastAsia="Times New Roman" w:cs="Times New Roman"/>
          <w:sz w:val="24"/>
          <w:szCs w:val="24"/>
        </w:rPr>
        <w:t xml:space="preserve"> is now applied on interest earned from certain short-term securities (treasury bills, corporate bonds, promissory notes, bills of exchange). This reverses previous exemptions which were designed to improve returns.</w:t>
      </w:r>
      <w:r>
        <w:rPr>
          <w:rStyle w:val="16"/>
          <w:rFonts w:ascii="Times New Roman" w:hAnsi="Times New Roman" w:eastAsia="Times New Roman" w:cs="Times New Roman"/>
          <w:sz w:val="24"/>
          <w:szCs w:val="24"/>
        </w:rPr>
        <w:footnoteReference w:id="135"/>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Revenue logic is to </w:t>
      </w:r>
      <w:r>
        <w:rPr>
          <w:rFonts w:ascii="Times New Roman" w:hAnsi="Times New Roman" w:eastAsia="Times New Roman" w:cs="Times New Roman"/>
          <w:sz w:val="24"/>
          <w:szCs w:val="24"/>
        </w:rPr>
        <w:t>capture a exempt stream and then broaden base. It is suggested that this is done to improve fiscal sustainability.</w:t>
      </w:r>
      <w:r>
        <w:rPr>
          <w:rStyle w:val="16"/>
          <w:rFonts w:ascii="Times New Roman" w:hAnsi="Times New Roman" w:eastAsia="Times New Roman" w:cs="Times New Roman"/>
          <w:sz w:val="24"/>
          <w:szCs w:val="24"/>
        </w:rPr>
        <w:footnoteReference w:id="136"/>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Nonetheless,</w:t>
      </w:r>
      <w:r>
        <w:rPr>
          <w:rFonts w:ascii="Times New Roman" w:hAnsi="Times New Roman" w:eastAsia="Times New Roman" w:cs="Times New Roman"/>
          <w:sz w:val="24"/>
          <w:szCs w:val="24"/>
        </w:rPr>
        <w:t xml:space="preserve"> if market costs rise, the public may pay through higher interest.</w:t>
      </w:r>
    </w:p>
    <w:p w14:paraId="328A3D33">
      <w:pPr>
        <w:spacing w:line="480" w:lineRule="auto"/>
        <w:jc w:val="both"/>
        <w:rPr>
          <w:rFonts w:ascii="Times New Roman" w:hAnsi="Times New Roman" w:eastAsia="Times New Roman" w:cs="Times New Roman"/>
          <w:sz w:val="24"/>
          <w:szCs w:val="24"/>
        </w:rPr>
      </w:pPr>
    </w:p>
    <w:p w14:paraId="46E75A7C">
      <w:pPr>
        <w:pStyle w:val="3"/>
      </w:pPr>
      <w:bookmarkStart w:id="59" w:name="_Toc233686228"/>
      <w:r>
        <w:t xml:space="preserve">4.2 </w:t>
      </w:r>
      <w:r>
        <w:tab/>
      </w:r>
      <w:r>
        <w:t>Impacts of the Tax Reforms</w:t>
      </w:r>
      <w:bookmarkEnd w:id="59"/>
    </w:p>
    <w:p w14:paraId="72015BF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section examines the </w:t>
      </w:r>
      <w:r>
        <w:rPr>
          <w:rFonts w:ascii="Times New Roman" w:hAnsi="Times New Roman" w:eastAsia="Times New Roman" w:cs="Times New Roman"/>
          <w:bCs/>
          <w:kern w:val="36"/>
          <w:sz w:val="24"/>
          <w:szCs w:val="24"/>
        </w:rPr>
        <w:t>impacts of the tax reforms</w:t>
      </w:r>
    </w:p>
    <w:p w14:paraId="6B67A7F6">
      <w:pPr>
        <w:pStyle w:val="4"/>
      </w:pPr>
      <w:bookmarkStart w:id="60" w:name="_Toc233686229"/>
      <w:r>
        <w:t xml:space="preserve">4.2.1 </w:t>
      </w:r>
      <w:r>
        <w:tab/>
      </w:r>
      <w:r>
        <w:t>Impact on government revenue and fiscal sustainability</w:t>
      </w:r>
      <w:bookmarkEnd w:id="60"/>
    </w:p>
    <w:p w14:paraId="32C87DF8">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Positive impacts</w:t>
      </w:r>
    </w:p>
    <w:p w14:paraId="7CD65ABC">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Improved capacity to mobilise non-oil revenue (medium-term)</w:t>
      </w:r>
    </w:p>
    <w:p w14:paraId="22BB47E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reforms are now in a “consolidation” phase. This targets digitalisation of the collection of revenue and stricter treasury controls. There are also “pro-poor tax measures” to cushion low-income households.</w:t>
      </w:r>
      <w:r>
        <w:rPr>
          <w:rStyle w:val="16"/>
          <w:rFonts w:ascii="Times New Roman" w:hAnsi="Times New Roman" w:eastAsia="Times New Roman" w:cs="Times New Roman"/>
          <w:sz w:val="24"/>
          <w:szCs w:val="24"/>
        </w:rPr>
        <w:footnoteReference w:id="137"/>
      </w:r>
      <w:r>
        <w:rPr>
          <w:rFonts w:ascii="Times New Roman" w:hAnsi="Times New Roman" w:eastAsia="Times New Roman" w:cs="Times New Roman"/>
          <w:sz w:val="24"/>
          <w:szCs w:val="24"/>
        </w:rPr>
        <w:t xml:space="preserve"> It is suggested that the reforms’ architecture</w:t>
      </w:r>
      <w:r>
        <w:rPr>
          <w:rStyle w:val="16"/>
          <w:rFonts w:ascii="Times New Roman" w:hAnsi="Times New Roman" w:eastAsia="Times New Roman" w:cs="Times New Roman"/>
          <w:sz w:val="24"/>
          <w:szCs w:val="24"/>
        </w:rPr>
        <w:footnoteReference w:id="138"/>
      </w:r>
      <w:r>
        <w:rPr>
          <w:rFonts w:ascii="Times New Roman" w:hAnsi="Times New Roman" w:eastAsia="Times New Roman" w:cs="Times New Roman"/>
          <w:sz w:val="24"/>
          <w:szCs w:val="24"/>
        </w:rPr>
        <w:t xml:space="preserve"> would reduce leakages and make reported revenue more collectible, not assessed.</w:t>
      </w:r>
      <w:r>
        <w:rPr>
          <w:rStyle w:val="16"/>
          <w:rFonts w:ascii="Times New Roman" w:hAnsi="Times New Roman" w:eastAsia="Times New Roman" w:cs="Times New Roman"/>
          <w:sz w:val="24"/>
          <w:szCs w:val="24"/>
        </w:rPr>
        <w:footnoteReference w:id="139"/>
      </w:r>
    </w:p>
    <w:p w14:paraId="10DA658A">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Higher fiscal credibility</w:t>
      </w:r>
    </w:p>
    <w:p w14:paraId="1398F5E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Discretionary fragmentation would be reduced when there is a consolidated tax code and a unified administration statute. Historically, this created “informal settlement” incentives. Where rules are clearer and enforcement is digitised, the revenue of the state becomes less dependent on episodic raids. Rather, it depends on predictable reporting. This is an improvement in fiscal governance.</w:t>
      </w:r>
    </w:p>
    <w:p w14:paraId="53CC3899">
      <w:pPr>
        <w:spacing w:line="480" w:lineRule="auto"/>
        <w:jc w:val="both"/>
        <w:rPr>
          <w:rFonts w:ascii="Times New Roman" w:hAnsi="Times New Roman" w:eastAsia="Times New Roman" w:cs="Times New Roman"/>
          <w:sz w:val="24"/>
          <w:szCs w:val="24"/>
        </w:rPr>
      </w:pPr>
    </w:p>
    <w:p w14:paraId="392A6FC4">
      <w:pPr>
        <w:spacing w:line="480" w:lineRule="auto"/>
        <w:jc w:val="both"/>
        <w:rPr>
          <w:rFonts w:ascii="Times New Roman" w:hAnsi="Times New Roman" w:eastAsia="Times New Roman" w:cs="Times New Roman"/>
          <w:sz w:val="24"/>
          <w:szCs w:val="24"/>
        </w:rPr>
      </w:pPr>
    </w:p>
    <w:p w14:paraId="559619FD">
      <w:pPr>
        <w:spacing w:line="480" w:lineRule="auto"/>
        <w:jc w:val="both"/>
        <w:rPr>
          <w:rFonts w:ascii="Times New Roman" w:hAnsi="Times New Roman" w:eastAsia="Times New Roman" w:cs="Times New Roman"/>
          <w:sz w:val="24"/>
          <w:szCs w:val="24"/>
        </w:rPr>
      </w:pPr>
    </w:p>
    <w:p w14:paraId="09A69B04">
      <w:pPr>
        <w:spacing w:line="480" w:lineRule="auto"/>
        <w:jc w:val="both"/>
        <w:rPr>
          <w:rFonts w:ascii="Times New Roman" w:hAnsi="Times New Roman" w:eastAsia="Times New Roman" w:cs="Times New Roman"/>
          <w:sz w:val="24"/>
          <w:szCs w:val="24"/>
        </w:rPr>
      </w:pPr>
    </w:p>
    <w:p w14:paraId="3A1D9595">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iii. Better targeting of compliance and audit resources</w:t>
      </w:r>
    </w:p>
    <w:p w14:paraId="6B43EB0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e-invoicing is a real-time visibility of invoices and transactions for large taxpayers. That supports risk-based audits and reduces manual discretion. It may also lower the “cost per naira collected” over time.</w:t>
      </w:r>
      <w:r>
        <w:rPr>
          <w:rStyle w:val="16"/>
          <w:rFonts w:ascii="Times New Roman" w:hAnsi="Times New Roman" w:eastAsia="Times New Roman" w:cs="Times New Roman"/>
          <w:sz w:val="24"/>
          <w:szCs w:val="24"/>
        </w:rPr>
        <w:footnoteReference w:id="140"/>
      </w:r>
      <w:r>
        <w:rPr>
          <w:rFonts w:ascii="Times New Roman" w:hAnsi="Times New Roman" w:eastAsia="Times New Roman" w:cs="Times New Roman"/>
          <w:sz w:val="24"/>
          <w:szCs w:val="24"/>
        </w:rPr>
        <w:t xml:space="preserve"> </w:t>
      </w:r>
    </w:p>
    <w:p w14:paraId="173AFBEA">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Negative impacts</w:t>
      </w:r>
    </w:p>
    <w:p w14:paraId="7201310D">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Short-term revenue uncertainty due to exemptions</w:t>
      </w:r>
    </w:p>
    <w:p w14:paraId="26768C2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exemptions are expanded, VAT intake may be reduced in the short run. The list of exempt items reported in 2025 indicates significant VAT base relief.</w:t>
      </w:r>
      <w:r>
        <w:rPr>
          <w:rStyle w:val="16"/>
          <w:rFonts w:ascii="Times New Roman" w:hAnsi="Times New Roman" w:eastAsia="Times New Roman" w:cs="Times New Roman"/>
          <w:sz w:val="24"/>
          <w:szCs w:val="24"/>
        </w:rPr>
        <w:footnoteReference w:id="141"/>
      </w:r>
      <w:r>
        <w:rPr>
          <w:rFonts w:ascii="Times New Roman" w:hAnsi="Times New Roman" w:eastAsia="Times New Roman" w:cs="Times New Roman"/>
          <w:sz w:val="24"/>
          <w:szCs w:val="24"/>
        </w:rPr>
        <w:t xml:space="preserve"> Indeed, this is defensible socially. However, base narrowing creates a gap in revenue unless it is offset by improved compliance and broader formalisation. </w:t>
      </w:r>
    </w:p>
    <w:p w14:paraId="20675765">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Implementation risk (“paper reforms” without impact)</w:t>
      </w:r>
    </w:p>
    <w:p w14:paraId="5F9ECC3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Historically, in Nigeria, there are numerous reforms that seemed ambitious on paper. However, they failed in execution to constraints in capacity and institutional overlap. If enforcement do not stabilise, the gains in revenue may remain theoretical.</w:t>
      </w:r>
    </w:p>
    <w:p w14:paraId="52D85C18">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iii. Macro headwinds drowns out tax improvements</w:t>
      </w:r>
    </w:p>
    <w:p w14:paraId="7B920B3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Inflation and food prices undermine revenue quality because it reduces real disposable incomes and shrinks the taxable base in consumption-sensitive sectors. Headline inflation eased to 15.15% in December 2025. Nonetheless, the broader cost pressures remain salient in everyday Nigerian life.</w:t>
      </w:r>
      <w:r>
        <w:rPr>
          <w:rStyle w:val="16"/>
          <w:rFonts w:ascii="Times New Roman" w:hAnsi="Times New Roman" w:eastAsia="Times New Roman" w:cs="Times New Roman"/>
          <w:sz w:val="24"/>
          <w:szCs w:val="24"/>
        </w:rPr>
        <w:footnoteReference w:id="142"/>
      </w:r>
      <w:r>
        <w:rPr>
          <w:rFonts w:ascii="Times New Roman" w:hAnsi="Times New Roman" w:eastAsia="Times New Roman" w:cs="Times New Roman"/>
          <w:sz w:val="24"/>
          <w:szCs w:val="24"/>
        </w:rPr>
        <w:t xml:space="preserve"> </w:t>
      </w:r>
    </w:p>
    <w:p w14:paraId="6A1E93D5">
      <w:pPr>
        <w:spacing w:line="480" w:lineRule="auto"/>
        <w:jc w:val="both"/>
        <w:rPr>
          <w:rFonts w:ascii="Times New Roman" w:hAnsi="Times New Roman" w:eastAsia="Times New Roman" w:cs="Times New Roman"/>
          <w:sz w:val="24"/>
          <w:szCs w:val="24"/>
        </w:rPr>
      </w:pPr>
    </w:p>
    <w:p w14:paraId="14C01DDB">
      <w:pPr>
        <w:pStyle w:val="4"/>
      </w:pPr>
      <w:bookmarkStart w:id="61" w:name="_Toc233686230"/>
      <w:r>
        <w:t xml:space="preserve">4.2.2 </w:t>
      </w:r>
      <w:r>
        <w:tab/>
      </w:r>
      <w:r>
        <w:t>Impact on businesses</w:t>
      </w:r>
      <w:bookmarkEnd w:id="61"/>
    </w:p>
    <w:p w14:paraId="78DD3918">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Positive impacts</w:t>
      </w:r>
    </w:p>
    <w:p w14:paraId="74B771B6">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 xml:space="preserve">i. Reduces the problem of “unfair competition” </w:t>
      </w:r>
    </w:p>
    <w:p w14:paraId="0DF6E5B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Nigeria, compliant firms often complain that non-compliant competitors undercut prices by evading VAT and underreporting turnover. E-invoicing (initially for large taxpayers) would narrow this gap because it would make invoice trails verifiable and it would also reduce “phantom input VAT” practices.</w:t>
      </w:r>
      <w:r>
        <w:rPr>
          <w:rStyle w:val="16"/>
          <w:rFonts w:ascii="Times New Roman" w:hAnsi="Times New Roman" w:eastAsia="Times New Roman" w:cs="Times New Roman"/>
          <w:sz w:val="24"/>
          <w:szCs w:val="24"/>
        </w:rPr>
        <w:footnoteReference w:id="143"/>
      </w:r>
      <w:r>
        <w:rPr>
          <w:rFonts w:ascii="Times New Roman" w:hAnsi="Times New Roman" w:eastAsia="Times New Roman" w:cs="Times New Roman"/>
          <w:sz w:val="24"/>
          <w:szCs w:val="24"/>
        </w:rPr>
        <w:t xml:space="preserve"> For large corporations with robust systems, the reforms may improve the predictability of audits. </w:t>
      </w:r>
    </w:p>
    <w:p w14:paraId="5DBAB6EC">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ii. Lowers friction in compliance on the long-run</w:t>
      </w:r>
    </w:p>
    <w:p w14:paraId="2E59300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business environment becomes more navigable if the unified administration standardises processes across agencies. Investors prefer predictable taxes to unpredictable bargains. </w:t>
      </w:r>
    </w:p>
    <w:p w14:paraId="42D5F35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iii. A clear Pathway for tax Dispute Resolution</w:t>
      </w:r>
      <w:r>
        <w:rPr>
          <w:rFonts w:ascii="Times New Roman" w:hAnsi="Times New Roman" w:eastAsia="Times New Roman" w:cs="Times New Roman"/>
          <w:b/>
          <w:sz w:val="24"/>
          <w:szCs w:val="24"/>
        </w:rPr>
        <w:t xml:space="preserve"> </w:t>
      </w:r>
    </w:p>
    <w:p w14:paraId="7FB533D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Supreme Court confirmed the place of the Tax Appeal Tribunal in the dispute architecture.</w:t>
      </w:r>
      <w:r>
        <w:rPr>
          <w:rStyle w:val="16"/>
          <w:rFonts w:ascii="Times New Roman" w:hAnsi="Times New Roman" w:eastAsia="Times New Roman" w:cs="Times New Roman"/>
          <w:sz w:val="24"/>
          <w:szCs w:val="24"/>
        </w:rPr>
        <w:footnoteReference w:id="144"/>
      </w:r>
      <w:r>
        <w:rPr>
          <w:rFonts w:ascii="Times New Roman" w:hAnsi="Times New Roman" w:eastAsia="Times New Roman" w:cs="Times New Roman"/>
          <w:sz w:val="24"/>
          <w:szCs w:val="24"/>
        </w:rPr>
        <w:t xml:space="preserve"> This reduces jurisdictional uncertainty. More so, it gives businesses a more predictable route for contesting assessments.</w:t>
      </w:r>
      <w:r>
        <w:rPr>
          <w:rStyle w:val="16"/>
          <w:rFonts w:ascii="Times New Roman" w:hAnsi="Times New Roman" w:eastAsia="Times New Roman" w:cs="Times New Roman"/>
          <w:sz w:val="24"/>
          <w:szCs w:val="24"/>
        </w:rPr>
        <w:footnoteReference w:id="145"/>
      </w:r>
      <w:r>
        <w:rPr>
          <w:rFonts w:ascii="Times New Roman" w:hAnsi="Times New Roman" w:eastAsia="Times New Roman" w:cs="Times New Roman"/>
          <w:sz w:val="24"/>
          <w:szCs w:val="24"/>
        </w:rPr>
        <w:t xml:space="preserve"> </w:t>
      </w:r>
    </w:p>
    <w:p w14:paraId="3A39BDDE">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Negative impacts</w:t>
      </w:r>
    </w:p>
    <w:p w14:paraId="35662DCA">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High costs for compliance and integration (under digitalisation)</w:t>
      </w:r>
    </w:p>
    <w:p w14:paraId="13CF5B82">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For large taxpayers, integrating enterprise invoicing systems with the platform of tax authority requires technical capacity, cybersecurity controls, staff training, and process redesign.</w:t>
      </w:r>
      <w:r>
        <w:rPr>
          <w:rStyle w:val="16"/>
          <w:rFonts w:ascii="Times New Roman" w:hAnsi="Times New Roman" w:eastAsia="Times New Roman" w:cs="Times New Roman"/>
          <w:sz w:val="24"/>
          <w:szCs w:val="24"/>
        </w:rPr>
        <w:footnoteReference w:id="146"/>
      </w:r>
      <w:r>
        <w:rPr>
          <w:rFonts w:ascii="Times New Roman" w:hAnsi="Times New Roman" w:eastAsia="Times New Roman" w:cs="Times New Roman"/>
          <w:sz w:val="24"/>
          <w:szCs w:val="24"/>
        </w:rPr>
        <w:t xml:space="preserve"> For SMEs, the risk is worse. Where digital compliance becomes the norm, smaller firms (with weak infrastructure) may face exclusion or higher costs of intermediaries (accountants, integrators).</w:t>
      </w:r>
    </w:p>
    <w:p w14:paraId="1B81F218">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Disputes because of uncertainty in transition</w:t>
      </w:r>
    </w:p>
    <w:p w14:paraId="3E8E59A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multiple statutes are consolidated, there exists changes and these create uncertainty. Tax reforms becomes instability for tax payers if authorities enforce aggressively while clarifications are still evolving.</w:t>
      </w:r>
    </w:p>
    <w:p w14:paraId="397AEAA4">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 xml:space="preserve">iii. The multiplicity at state/local levels may negate the benefits of federal reform </w:t>
      </w:r>
    </w:p>
    <w:p w14:paraId="116FE444">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Many SMEs in Nigeria face multiple levies, road charges, market fees, and enforcement visits. If the reforms do not reduce overlapping mandates, reform may add a stronger federal layer on top of existing subnational burdens for SMEs. </w:t>
      </w:r>
    </w:p>
    <w:p w14:paraId="6FBE09FF">
      <w:pPr>
        <w:pStyle w:val="4"/>
      </w:pPr>
      <w:bookmarkStart w:id="62" w:name="_Toc233686231"/>
      <w:r>
        <w:t xml:space="preserve">4.2.3 </w:t>
      </w:r>
      <w:r>
        <w:tab/>
      </w:r>
      <w:r>
        <w:t>Impact on households and cost of living</w:t>
      </w:r>
      <w:bookmarkEnd w:id="62"/>
    </w:p>
    <w:p w14:paraId="712BC7F4">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Positive impacts</w:t>
      </w:r>
    </w:p>
    <w:p w14:paraId="07F51D33">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VAT exemptions on essentials soften regressivity</w:t>
      </w:r>
    </w:p>
    <w:p w14:paraId="24AC228B">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VAT is regressive because lower-income households spend a higher proportion of income on consumption. Exempting items such as sanitary products and other essentials (as widely reported) reduce the tax embedded in basic consumption baskets.</w:t>
      </w:r>
      <w:r>
        <w:rPr>
          <w:rStyle w:val="16"/>
          <w:rFonts w:ascii="Times New Roman" w:hAnsi="Times New Roman" w:eastAsia="Times New Roman" w:cs="Times New Roman"/>
          <w:sz w:val="24"/>
          <w:szCs w:val="24"/>
        </w:rPr>
        <w:footnoteReference w:id="147"/>
      </w:r>
      <w:r>
        <w:rPr>
          <w:rFonts w:ascii="Times New Roman" w:hAnsi="Times New Roman" w:eastAsia="Times New Roman" w:cs="Times New Roman"/>
          <w:sz w:val="24"/>
          <w:szCs w:val="24"/>
        </w:rPr>
        <w:t xml:space="preserve"> In principle, this is consistent with distributive fairness.</w:t>
      </w:r>
      <w:r>
        <w:rPr>
          <w:rStyle w:val="16"/>
          <w:rFonts w:ascii="Times New Roman" w:hAnsi="Times New Roman" w:eastAsia="Times New Roman" w:cs="Times New Roman"/>
          <w:sz w:val="24"/>
          <w:szCs w:val="24"/>
        </w:rPr>
        <w:footnoteReference w:id="148"/>
      </w:r>
    </w:p>
    <w:p w14:paraId="4F2F33D3">
      <w:pPr>
        <w:spacing w:line="480" w:lineRule="auto"/>
        <w:jc w:val="both"/>
        <w:rPr>
          <w:rFonts w:ascii="Times New Roman" w:hAnsi="Times New Roman" w:eastAsia="Times New Roman" w:cs="Times New Roman"/>
          <w:sz w:val="24"/>
          <w:szCs w:val="24"/>
        </w:rPr>
      </w:pPr>
    </w:p>
    <w:p w14:paraId="209E719F">
      <w:pPr>
        <w:spacing w:line="480" w:lineRule="auto"/>
        <w:jc w:val="both"/>
        <w:rPr>
          <w:rFonts w:ascii="Times New Roman" w:hAnsi="Times New Roman" w:eastAsia="Times New Roman" w:cs="Times New Roman"/>
          <w:sz w:val="24"/>
          <w:szCs w:val="24"/>
        </w:rPr>
      </w:pPr>
    </w:p>
    <w:p w14:paraId="2AF365A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Stronger public finance</w:t>
      </w:r>
    </w:p>
    <w:p w14:paraId="205BB52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If reforms increase revenue, government may have more fiscal space to fund social services and stabilise macro conditions where debt service and subsidy burdens crowded out social spending.</w:t>
      </w:r>
    </w:p>
    <w:p w14:paraId="17230B6C">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Negative impacts</w:t>
      </w:r>
    </w:p>
    <w:p w14:paraId="6759D6B4">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Weak pass-through (tax relief may not reach consumers)</w:t>
      </w:r>
      <w:r>
        <w:rPr>
          <w:rFonts w:ascii="Times New Roman" w:hAnsi="Times New Roman" w:eastAsia="Times New Roman" w:cs="Times New Roman"/>
          <w:b/>
          <w:sz w:val="24"/>
          <w:szCs w:val="24"/>
        </w:rPr>
        <w:t xml:space="preserve"> </w:t>
      </w:r>
    </w:p>
    <w:p w14:paraId="3392C69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Even if VAT is removed from certain essentials, retailers and producers may not reduce prices proportionately, (this is common in markets with weak competition or where input costs (fuel, FX, transportation) dominate pricing). In such cases, VAT relief becomes a firm-side margin buffer, not consumer-side price relief.</w:t>
      </w:r>
    </w:p>
    <w:p w14:paraId="2DF215E5">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Increases cost of living</w:t>
      </w:r>
    </w:p>
    <w:p w14:paraId="1DFDE54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It is reported that there have been hardship in Nigeria since 2023 reforms and this highlights the lived reality. The disposable incomes of many households were reduced severely.</w:t>
      </w:r>
      <w:r>
        <w:rPr>
          <w:rStyle w:val="16"/>
          <w:rFonts w:ascii="Times New Roman" w:hAnsi="Times New Roman" w:eastAsia="Times New Roman" w:cs="Times New Roman"/>
          <w:sz w:val="24"/>
          <w:szCs w:val="24"/>
        </w:rPr>
        <w:footnoteReference w:id="149"/>
      </w:r>
      <w:r>
        <w:rPr>
          <w:rFonts w:ascii="Times New Roman" w:hAnsi="Times New Roman" w:eastAsia="Times New Roman" w:cs="Times New Roman"/>
          <w:sz w:val="24"/>
          <w:szCs w:val="24"/>
        </w:rPr>
        <w:t xml:space="preserve"> In this context, new tax (even if it is focused on compliance) would be insensitive extraction unless it is paired with visible social protection and credible communication.</w:t>
      </w:r>
    </w:p>
    <w:p w14:paraId="2D5D518B">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iii. Digitisation creates equity by exclusion</w:t>
      </w:r>
    </w:p>
    <w:p w14:paraId="0F01E7B5">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Where the tax system relies on electronic trails, the most vulnerable groups (informal traders, rural micro-businesses) may be pushed outside formal markets or become targets of arbitrary enforcement because they cannot comply technologically. Equity is not achieved when compliance is “modern” only for those who can afford modernity.</w:t>
      </w:r>
    </w:p>
    <w:p w14:paraId="7FBA6F1E">
      <w:pPr>
        <w:pStyle w:val="4"/>
      </w:pPr>
      <w:bookmarkStart w:id="63" w:name="_Toc233686232"/>
      <w:r>
        <w:t xml:space="preserve">4.2.4 </w:t>
      </w:r>
      <w:r>
        <w:tab/>
      </w:r>
      <w:r>
        <w:t>Impact on investment and employment</w:t>
      </w:r>
      <w:bookmarkEnd w:id="63"/>
    </w:p>
    <w:p w14:paraId="36313E77">
      <w:pPr>
        <w:spacing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Positive impacts</w:t>
      </w:r>
    </w:p>
    <w:p w14:paraId="645F4911">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 A clear tax framework attracts investment </w:t>
      </w:r>
    </w:p>
    <w:p w14:paraId="76F3247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Predictability attracts investment and a</w:t>
      </w:r>
      <w:r>
        <w:rPr>
          <w:rFonts w:ascii="Times New Roman" w:hAnsi="Times New Roman" w:eastAsia="Times New Roman" w:cs="Times New Roman"/>
          <w:sz w:val="24"/>
          <w:szCs w:val="24"/>
        </w:rPr>
        <w:t xml:space="preserve"> clearer tax framework (single consolidated Act; unified administrative process) reduces policy uncertainty for foreign investors who compare Nigeria to peer markets. Predictability lowers the costs of transaction. In addition, it supports long-term planning.</w:t>
      </w:r>
    </w:p>
    <w:p w14:paraId="29F207B1">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Better macro stability</w:t>
      </w:r>
    </w:p>
    <w:p w14:paraId="78B29946">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World Bank has signalled that the reforms in Nigeria have begun to yield results in fiscal strengthening, even while inflation remains a concern.</w:t>
      </w:r>
      <w:r>
        <w:rPr>
          <w:rStyle w:val="16"/>
          <w:rFonts w:ascii="Times New Roman" w:hAnsi="Times New Roman" w:eastAsia="Times New Roman" w:cs="Times New Roman"/>
          <w:sz w:val="24"/>
          <w:szCs w:val="24"/>
        </w:rPr>
        <w:footnoteReference w:id="150"/>
      </w:r>
      <w:r>
        <w:rPr>
          <w:rFonts w:ascii="Times New Roman" w:hAnsi="Times New Roman" w:eastAsia="Times New Roman" w:cs="Times New Roman"/>
          <w:sz w:val="24"/>
          <w:szCs w:val="24"/>
        </w:rPr>
        <w:t xml:space="preserve"> A stable fiscal environment reduces the premiums of sovereign risk. This supports investment and creates job indirectly. </w:t>
      </w:r>
    </w:p>
    <w:p w14:paraId="7BD7B1FD">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Negative impacts</w:t>
      </w:r>
    </w:p>
    <w:p w14:paraId="6F1F98E1">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The costs of compliance may reduce hiring</w:t>
      </w:r>
    </w:p>
    <w:p w14:paraId="390B9C9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For firms, the cost of compliance competes with cost of expansion. If the cost of digitisation increases without adequate support for transition, firms (especially mid-sized employers) may slow recruitment. They may also substitute labour with automation or relocate activities into informality.</w:t>
      </w:r>
    </w:p>
    <w:p w14:paraId="6DC6F8A3">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Policy controversy undermines the confidence of investors</w:t>
      </w:r>
    </w:p>
    <w:p w14:paraId="49BDBF0F">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there are public disputes about the content of the tax laws and allegations of excessive powers for enforcement, investors may be dissuaded from investing because they fear unpredictable coercion. Even where allegations are contested, the decision to invest is affected if institutions are perceived to be unstable.</w:t>
      </w:r>
    </w:p>
    <w:p w14:paraId="3D94C1CE">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iii. Sectoral shocks dominate tax benefits</w:t>
      </w:r>
    </w:p>
    <w:p w14:paraId="60511F2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power sector in Nigeria remains a significant constraint. Reuters reported that targeted tariff hikes reduced the burdens of electricity subsidy and generated fiscal relief. Nonetheless, the grid continues to struggle and businesses rely more expensive generators.</w:t>
      </w:r>
      <w:r>
        <w:rPr>
          <w:rStyle w:val="16"/>
          <w:rFonts w:ascii="Times New Roman" w:hAnsi="Times New Roman" w:eastAsia="Times New Roman" w:cs="Times New Roman"/>
          <w:sz w:val="24"/>
          <w:szCs w:val="24"/>
        </w:rPr>
        <w:footnoteReference w:id="151"/>
      </w:r>
      <w:r>
        <w:rPr>
          <w:rFonts w:ascii="Times New Roman" w:hAnsi="Times New Roman" w:eastAsia="Times New Roman" w:cs="Times New Roman"/>
          <w:sz w:val="24"/>
          <w:szCs w:val="24"/>
        </w:rPr>
        <w:t xml:space="preserve"> For many businesses, the cost electricity dwarf the gains  in policy tax. So reforms may not translate into growth in employment unless the bottlenecks of infrastructure ease.</w:t>
      </w:r>
    </w:p>
    <w:p w14:paraId="7B526AE6">
      <w:pPr>
        <w:pStyle w:val="4"/>
      </w:pPr>
      <w:bookmarkStart w:id="64" w:name="_Toc233686233"/>
      <w:r>
        <w:t xml:space="preserve">4.2.5 </w:t>
      </w:r>
      <w:r>
        <w:tab/>
      </w:r>
      <w:r>
        <w:t>Impact on tax compliance culture and administrative efficiency</w:t>
      </w:r>
      <w:bookmarkEnd w:id="64"/>
    </w:p>
    <w:p w14:paraId="6DFE6311">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Positive impacts</w:t>
      </w:r>
    </w:p>
    <w:p w14:paraId="6A6CEF58">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 “Raid compliance” to “system compliance”</w:t>
      </w:r>
      <w:r>
        <w:rPr>
          <w:rFonts w:ascii="Times New Roman" w:hAnsi="Times New Roman" w:eastAsia="Times New Roman" w:cs="Times New Roman"/>
          <w:b/>
          <w:sz w:val="24"/>
          <w:szCs w:val="24"/>
        </w:rPr>
        <w:t xml:space="preserve"> </w:t>
      </w:r>
    </w:p>
    <w:p w14:paraId="5331589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E-invoicing moves compliance from episodic enforcement to continuous reporting. Hence, personal discretion is not relied on.</w:t>
      </w:r>
      <w:r>
        <w:rPr>
          <w:rStyle w:val="16"/>
          <w:rFonts w:ascii="Times New Roman" w:hAnsi="Times New Roman" w:eastAsia="Times New Roman" w:cs="Times New Roman"/>
          <w:sz w:val="24"/>
          <w:szCs w:val="24"/>
        </w:rPr>
        <w:footnoteReference w:id="152"/>
      </w:r>
      <w:r>
        <w:rPr>
          <w:rFonts w:ascii="Times New Roman" w:hAnsi="Times New Roman" w:eastAsia="Times New Roman" w:cs="Times New Roman"/>
          <w:sz w:val="24"/>
          <w:szCs w:val="24"/>
        </w:rPr>
        <w:t xml:space="preserve"> In addition, transparency is improved.</w:t>
      </w:r>
      <w:r>
        <w:rPr>
          <w:rStyle w:val="16"/>
          <w:rFonts w:ascii="Times New Roman" w:hAnsi="Times New Roman" w:eastAsia="Times New Roman" w:cs="Times New Roman"/>
          <w:sz w:val="24"/>
          <w:szCs w:val="24"/>
        </w:rPr>
        <w:footnoteReference w:id="153"/>
      </w:r>
      <w:r>
        <w:rPr>
          <w:rFonts w:ascii="Times New Roman" w:hAnsi="Times New Roman" w:eastAsia="Times New Roman" w:cs="Times New Roman"/>
          <w:sz w:val="24"/>
          <w:szCs w:val="24"/>
        </w:rPr>
        <w:t xml:space="preserve"> Moreover, it strengthens compliance when taxpayers see clear rules and predictable enforcement.</w:t>
      </w:r>
    </w:p>
    <w:p w14:paraId="37BA392D">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 Structured pathways for dispute resolution</w:t>
      </w:r>
    </w:p>
    <w:p w14:paraId="0063B7F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Taxpayers may be more willing to comply when there is a tribunal pathway and objection/appeal procedures. This supports a legal culture of compliance.</w:t>
      </w:r>
    </w:p>
    <w:p w14:paraId="3C637CF6">
      <w:pPr>
        <w:spacing w:line="480" w:lineRule="auto"/>
        <w:jc w:val="both"/>
        <w:rPr>
          <w:rFonts w:ascii="Times New Roman" w:hAnsi="Times New Roman" w:eastAsia="Times New Roman" w:cs="Times New Roman"/>
          <w:sz w:val="24"/>
          <w:szCs w:val="24"/>
        </w:rPr>
      </w:pPr>
    </w:p>
    <w:p w14:paraId="353852B7">
      <w:pPr>
        <w:spacing w:line="480" w:lineRule="auto"/>
        <w:jc w:val="both"/>
        <w:rPr>
          <w:rFonts w:ascii="Times New Roman" w:hAnsi="Times New Roman" w:eastAsia="Times New Roman" w:cs="Times New Roman"/>
          <w:sz w:val="24"/>
          <w:szCs w:val="24"/>
        </w:rPr>
      </w:pPr>
    </w:p>
    <w:p w14:paraId="5E881651">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iii. Reduces fraud</w:t>
      </w:r>
    </w:p>
    <w:p w14:paraId="17B5102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Real-time invoice validation reduces the ability to inflate costs or fabricate claims of VAT. This improves the integrity of the VAT chain.</w:t>
      </w:r>
      <w:r>
        <w:rPr>
          <w:rStyle w:val="16"/>
          <w:rFonts w:ascii="Times New Roman" w:hAnsi="Times New Roman" w:eastAsia="Times New Roman" w:cs="Times New Roman"/>
          <w:sz w:val="24"/>
          <w:szCs w:val="24"/>
        </w:rPr>
        <w:footnoteReference w:id="154"/>
      </w:r>
      <w:r>
        <w:rPr>
          <w:rFonts w:ascii="Times New Roman" w:hAnsi="Times New Roman" w:eastAsia="Times New Roman" w:cs="Times New Roman"/>
          <w:sz w:val="24"/>
          <w:szCs w:val="24"/>
        </w:rPr>
        <w:t xml:space="preserve"> </w:t>
      </w:r>
    </w:p>
    <w:p w14:paraId="46E3BF2F">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Negative impacts</w:t>
      </w:r>
    </w:p>
    <w:p w14:paraId="229C581C">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iv. Risk of “digital authoritarianism” in tax enforcement</w:t>
      </w:r>
    </w:p>
    <w:p w14:paraId="465A016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Technology may be used to make compliance fair or to make enforcement automated and harsh. Taxpayers may be denied a fair hearing, where penalties are triggered without robust safeguards. </w:t>
      </w:r>
    </w:p>
    <w:p w14:paraId="2406CECD">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v. System failure creates more burden</w:t>
      </w:r>
    </w:p>
    <w:p w14:paraId="40D06170">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 country with infrastructure deficits (power, internet, system downtime), technical failure would cause non-compliance. If penalties are applied rigidly, the system becomes unjust. Taxpayers are punished for the weakness in infrastructure. </w:t>
      </w:r>
    </w:p>
    <w:p w14:paraId="5F4196ED">
      <w:pPr>
        <w:pStyle w:val="3"/>
        <w:rPr>
          <w:kern w:val="36"/>
        </w:rPr>
      </w:pPr>
      <w:bookmarkStart w:id="65" w:name="_Toc233686234"/>
      <w:r>
        <w:rPr>
          <w:kern w:val="36"/>
        </w:rPr>
        <w:t xml:space="preserve">4.3 </w:t>
      </w:r>
      <w:r>
        <w:rPr>
          <w:kern w:val="36"/>
        </w:rPr>
        <w:tab/>
      </w:r>
      <w:r>
        <w:rPr>
          <w:kern w:val="36"/>
        </w:rPr>
        <w:t>Challenges in the Implementation of the Tax Reforms</w:t>
      </w:r>
      <w:bookmarkEnd w:id="65"/>
    </w:p>
    <w:p w14:paraId="51EFECD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section examines the challenges in implementing tax reforms.</w:t>
      </w:r>
    </w:p>
    <w:p w14:paraId="4738FAB3">
      <w:pPr>
        <w:pStyle w:val="4"/>
      </w:pPr>
      <w:bookmarkStart w:id="66" w:name="_Toc233686235"/>
      <w:r>
        <w:t xml:space="preserve">4.3.1 </w:t>
      </w:r>
      <w:r>
        <w:tab/>
      </w:r>
      <w:r>
        <w:t>Multiple taxation and overlapping mandates</w:t>
      </w:r>
      <w:bookmarkEnd w:id="66"/>
    </w:p>
    <w:p w14:paraId="7DD0F63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The problem of</w:t>
      </w:r>
      <w:r>
        <w:rPr>
          <w:rFonts w:ascii="Times New Roman" w:hAnsi="Times New Roman" w:eastAsia="Times New Roman" w:cs="Times New Roman"/>
          <w:sz w:val="24"/>
          <w:szCs w:val="24"/>
        </w:rPr>
        <w:t xml:space="preserve"> “multiple taxation” in Nigeria is systemic. Businesses face fees, and taxes across federal, state and local levels, often on the same economic activity. The Tax Reform Acts aim to reduce overlap through harmonisation and coordination. Nonetheless, institutional behaviour may resist change where agencies depend on internally generated revenues and enforcement rents.</w:t>
      </w:r>
      <w:r>
        <w:rPr>
          <w:rStyle w:val="16"/>
          <w:rFonts w:ascii="Times New Roman" w:hAnsi="Times New Roman" w:eastAsia="Times New Roman" w:cs="Times New Roman"/>
          <w:sz w:val="24"/>
          <w:szCs w:val="24"/>
        </w:rPr>
        <w:footnoteReference w:id="155"/>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Multiple taxation persists even after reform because</w:t>
      </w:r>
      <w:r>
        <w:rPr>
          <w:rFonts w:ascii="Times New Roman" w:hAnsi="Times New Roman" w:eastAsia="Times New Roman" w:cs="Times New Roman"/>
          <w:sz w:val="24"/>
          <w:szCs w:val="24"/>
        </w:rPr>
        <w:t xml:space="preserve"> coordination bodies may exist and still fail. If harmonisation is treated as policy guidance not enforceable discipline, agencies may continue issuing competing demands. Taxpayers then face a “pay or suffer” dilemma (especially SMEs that may not have the resources to litigate). </w:t>
      </w:r>
      <w:r>
        <w:rPr>
          <w:rFonts w:ascii="Times New Roman" w:hAnsi="Times New Roman" w:eastAsia="Times New Roman" w:cs="Times New Roman"/>
          <w:bCs/>
          <w:sz w:val="24"/>
          <w:szCs w:val="24"/>
        </w:rPr>
        <w:t xml:space="preserve">The </w:t>
      </w:r>
      <w:r>
        <w:rPr>
          <w:rFonts w:ascii="Times New Roman" w:hAnsi="Times New Roman" w:eastAsia="Times New Roman" w:cs="Times New Roman"/>
          <w:sz w:val="24"/>
          <w:szCs w:val="24"/>
        </w:rPr>
        <w:t xml:space="preserve">Supreme Court has already shown impatience with double consumption taxes. In </w:t>
      </w:r>
      <w:r>
        <w:rPr>
          <w:rFonts w:ascii="Times New Roman" w:hAnsi="Times New Roman" w:eastAsia="Times New Roman" w:cs="Times New Roman"/>
          <w:bCs/>
          <w:sz w:val="24"/>
          <w:szCs w:val="24"/>
        </w:rPr>
        <w:t>A-G Lagos State v Eko Hotels Ltd</w:t>
      </w:r>
      <w:r>
        <w:rPr>
          <w:rFonts w:ascii="Times New Roman" w:hAnsi="Times New Roman" w:eastAsia="Times New Roman" w:cs="Times New Roman"/>
          <w:sz w:val="24"/>
          <w:szCs w:val="24"/>
        </w:rPr>
        <w:t>,</w:t>
      </w:r>
      <w:r>
        <w:rPr>
          <w:rStyle w:val="16"/>
          <w:rFonts w:ascii="Times New Roman" w:hAnsi="Times New Roman" w:eastAsia="Times New Roman" w:cs="Times New Roman"/>
          <w:sz w:val="24"/>
          <w:szCs w:val="24"/>
        </w:rPr>
        <w:footnoteReference w:id="156"/>
      </w:r>
      <w:r>
        <w:rPr>
          <w:rFonts w:ascii="Times New Roman" w:hAnsi="Times New Roman" w:eastAsia="Times New Roman" w:cs="Times New Roman"/>
          <w:sz w:val="24"/>
          <w:szCs w:val="24"/>
        </w:rPr>
        <w:t xml:space="preserve"> the Court held that VAT is a federal tax covering the field for consumption taxation. To that effect, applying both VAT and a state sales tax on the same transaction creates impermissible double taxation pressures and this borne ultimately by consumers.</w:t>
      </w:r>
      <w:r>
        <w:rPr>
          <w:rStyle w:val="16"/>
          <w:rFonts w:ascii="Times New Roman" w:hAnsi="Times New Roman" w:eastAsia="Times New Roman" w:cs="Times New Roman"/>
          <w:sz w:val="24"/>
          <w:szCs w:val="24"/>
        </w:rPr>
        <w:footnoteReference w:id="157"/>
      </w:r>
      <w:r>
        <w:rPr>
          <w:rFonts w:ascii="Times New Roman" w:hAnsi="Times New Roman" w:eastAsia="Times New Roman" w:cs="Times New Roman"/>
          <w:sz w:val="24"/>
          <w:szCs w:val="24"/>
        </w:rPr>
        <w:t xml:space="preserve"> Anxiety continues over who controls major consumption tax streams (VAT collection and allocation). Hence, states may interpret reforms as a federal consolidation project. This triggers fragmentation in compliance.</w:t>
      </w:r>
      <w:r>
        <w:rPr>
          <w:rStyle w:val="16"/>
          <w:rFonts w:ascii="Times New Roman" w:hAnsi="Times New Roman" w:eastAsia="Times New Roman" w:cs="Times New Roman"/>
          <w:sz w:val="24"/>
          <w:szCs w:val="24"/>
        </w:rPr>
        <w:footnoteReference w:id="158"/>
      </w:r>
    </w:p>
    <w:p w14:paraId="0DBD746E">
      <w:pPr>
        <w:pStyle w:val="4"/>
      </w:pPr>
      <w:bookmarkStart w:id="67" w:name="_Toc233686236"/>
      <w:r>
        <w:t xml:space="preserve">4.3.2 </w:t>
      </w:r>
      <w:r>
        <w:tab/>
      </w:r>
      <w:r>
        <w:t>Legal fragmentation and uncertainty in transition</w:t>
      </w:r>
      <w:bookmarkEnd w:id="67"/>
    </w:p>
    <w:p w14:paraId="0424A319">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Even where statutes consolidate rules, new definitions and enforcement pathways create fresh disputes about interpretation. For example, the judiciary has influenced the administration of VAT in Nigeria. In </w:t>
      </w:r>
      <w:r>
        <w:rPr>
          <w:rFonts w:ascii="Times New Roman" w:hAnsi="Times New Roman" w:eastAsia="Times New Roman" w:cs="Times New Roman"/>
          <w:bCs/>
          <w:sz w:val="24"/>
          <w:szCs w:val="24"/>
        </w:rPr>
        <w:t>Vodacom Business Nigeria Ltd v FIRS,</w:t>
      </w:r>
      <w:r>
        <w:rPr>
          <w:rStyle w:val="16"/>
          <w:rFonts w:ascii="Times New Roman" w:hAnsi="Times New Roman" w:eastAsia="Times New Roman" w:cs="Times New Roman"/>
          <w:bCs/>
          <w:sz w:val="24"/>
          <w:szCs w:val="24"/>
        </w:rPr>
        <w:footnoteReference w:id="159"/>
      </w:r>
      <w:r>
        <w:rPr>
          <w:rFonts w:ascii="Times New Roman" w:hAnsi="Times New Roman" w:eastAsia="Times New Roman" w:cs="Times New Roman"/>
          <w:sz w:val="24"/>
          <w:szCs w:val="24"/>
        </w:rPr>
        <w:t xml:space="preserve">  the court affirmed that a recipient of imported services in Nigeria could be required to self-account and remit VAT. This expands compliance burdens beyond the traditional “supplier collects VAT” model. Hence, reforms layered on top of this line of authority increase the frequency of </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dispute (especially for businesses importing digital/telecom/technical services). </w:t>
      </w:r>
      <w:r>
        <w:rPr>
          <w:rFonts w:ascii="Times New Roman" w:hAnsi="Times New Roman" w:eastAsia="Times New Roman" w:cs="Times New Roman"/>
          <w:bCs/>
          <w:sz w:val="24"/>
          <w:szCs w:val="24"/>
        </w:rPr>
        <w:t>Notably,</w:t>
      </w:r>
      <w:r>
        <w:rPr>
          <w:rFonts w:ascii="Times New Roman" w:hAnsi="Times New Roman" w:eastAsia="Times New Roman" w:cs="Times New Roman"/>
          <w:sz w:val="24"/>
          <w:szCs w:val="24"/>
        </w:rPr>
        <w:t xml:space="preserve"> tax statutes are construed strictly in common law traditions (this is often expressed as “no taxation by implication”). Where transition is unclear, taxpayers will resist compliance.  </w:t>
      </w:r>
    </w:p>
    <w:p w14:paraId="511EBCBB">
      <w:pPr>
        <w:pStyle w:val="4"/>
      </w:pPr>
      <w:bookmarkStart w:id="68" w:name="_Toc233686237"/>
      <w:r>
        <w:t xml:space="preserve">4.3.3 </w:t>
      </w:r>
      <w:r>
        <w:tab/>
      </w:r>
      <w:r>
        <w:t>Weak coordination among agencies</w:t>
      </w:r>
      <w:bookmarkEnd w:id="68"/>
    </w:p>
    <w:p w14:paraId="44F4A93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reforms rely on coordination. NRS (federal collector), Customs (border revenue), SIRS (subnational administration), TAT (dispute resolution), and the Tax Ombud (complaints). Yet institutional culture in Nigeria has been siloed. There are have been inter-agency rivalry and inconsistent standards for data. </w:t>
      </w:r>
      <w:r>
        <w:rPr>
          <w:rFonts w:ascii="Times New Roman" w:hAnsi="Times New Roman" w:eastAsia="Times New Roman" w:cs="Times New Roman"/>
          <w:bCs/>
          <w:sz w:val="24"/>
          <w:szCs w:val="24"/>
        </w:rPr>
        <w:t>Indeed,</w:t>
      </w:r>
      <w:r>
        <w:rPr>
          <w:rFonts w:ascii="Times New Roman" w:hAnsi="Times New Roman" w:eastAsia="Times New Roman" w:cs="Times New Roman"/>
          <w:sz w:val="24"/>
          <w:szCs w:val="24"/>
        </w:rPr>
        <w:t xml:space="preserve"> the Joint Revenue Board framework is a forum for sharing data and harmonised execution.</w:t>
      </w:r>
      <w:r>
        <w:rPr>
          <w:rStyle w:val="16"/>
          <w:rFonts w:ascii="Times New Roman" w:hAnsi="Times New Roman" w:eastAsia="Times New Roman" w:cs="Times New Roman"/>
          <w:sz w:val="24"/>
          <w:szCs w:val="24"/>
        </w:rPr>
        <w:footnoteReference w:id="160"/>
      </w:r>
      <w:r>
        <w:rPr>
          <w:rFonts w:ascii="Times New Roman" w:hAnsi="Times New Roman" w:eastAsia="Times New Roman" w:cs="Times New Roman"/>
          <w:sz w:val="24"/>
          <w:szCs w:val="24"/>
        </w:rPr>
        <w:t xml:space="preserve"> However, it is not coordinated efficiently because agencies do not share taxpayer data promptly. More so, Customs levies create inflationary shocks and this undermines the compliance of domestic tax. In addition, subnational enforcement remains informal. The federal government suspended the </w:t>
      </w:r>
      <w:r>
        <w:rPr>
          <w:rFonts w:ascii="Times New Roman" w:hAnsi="Times New Roman" w:eastAsia="Times New Roman" w:cs="Times New Roman"/>
          <w:bCs/>
          <w:sz w:val="24"/>
          <w:szCs w:val="24"/>
        </w:rPr>
        <w:t>4% FOB levy</w:t>
      </w:r>
      <w:r>
        <w:rPr>
          <w:rFonts w:ascii="Times New Roman" w:hAnsi="Times New Roman" w:eastAsia="Times New Roman" w:cs="Times New Roman"/>
          <w:sz w:val="24"/>
          <w:szCs w:val="24"/>
        </w:rPr>
        <w:t xml:space="preserve"> after strong business backlash. In essence, border-revenue policies undermine domestic tax reform because it raises costs. This fuels resistance and in turn taxpayers become unwilling to comply.</w:t>
      </w:r>
      <w:r>
        <w:rPr>
          <w:rStyle w:val="16"/>
          <w:rFonts w:ascii="Times New Roman" w:hAnsi="Times New Roman" w:eastAsia="Times New Roman" w:cs="Times New Roman"/>
          <w:sz w:val="24"/>
          <w:szCs w:val="24"/>
        </w:rPr>
        <w:footnoteReference w:id="161"/>
      </w:r>
    </w:p>
    <w:p w14:paraId="543A84DC">
      <w:pPr>
        <w:pStyle w:val="4"/>
      </w:pPr>
      <w:bookmarkStart w:id="69" w:name="_Toc233686238"/>
      <w:r>
        <w:t xml:space="preserve">4.3.4 </w:t>
      </w:r>
      <w:r>
        <w:tab/>
      </w:r>
      <w:r>
        <w:t>Infrastructural deficit and limits in digital capacity</w:t>
      </w:r>
      <w:bookmarkEnd w:id="69"/>
      <w:r>
        <w:t xml:space="preserve"> </w:t>
      </w:r>
    </w:p>
    <w:p w14:paraId="739B7C6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E-invoicing and electronic fiscal systems require reliable electricity, stable internet, secure platforms, trained personnel, and interoperability with business accounting systems. There is an infrastructure deficit in Nigeria and this makes “digital compliance” uneven. It becomes more feasible in high-capacity corporates and major cities. Conversely, it becomes less feasible for SMEs and dispersed supply chains. The National e-invoicing regime was scheduled to be mandatory for “large taxpayers” (turnover threshold ₦5 billion+) from August 2025. This requires system integration with the tax authority platform for real-time invoice validation/transmission.</w:t>
      </w:r>
      <w:r>
        <w:rPr>
          <w:rStyle w:val="16"/>
          <w:rFonts w:ascii="Times New Roman" w:hAnsi="Times New Roman" w:eastAsia="Times New Roman" w:cs="Times New Roman"/>
          <w:sz w:val="24"/>
          <w:szCs w:val="24"/>
        </w:rPr>
        <w:footnoteReference w:id="162"/>
      </w:r>
      <w:r>
        <w:rPr>
          <w:rFonts w:ascii="Times New Roman" w:hAnsi="Times New Roman" w:eastAsia="Times New Roman" w:cs="Times New Roman"/>
          <w:sz w:val="24"/>
          <w:szCs w:val="24"/>
        </w:rPr>
        <w:t xml:space="preserve"> Nonetheless, the challenges in implementation quickly surfaced. Report shows that the deadline for compliance was extended to November 2025 because many large taxpayers faced difficulties in technical integration.</w:t>
      </w:r>
      <w:r>
        <w:rPr>
          <w:rStyle w:val="16"/>
          <w:rFonts w:ascii="Times New Roman" w:hAnsi="Times New Roman" w:eastAsia="Times New Roman" w:cs="Times New Roman"/>
          <w:sz w:val="24"/>
          <w:szCs w:val="24"/>
        </w:rPr>
        <w:footnoteReference w:id="163"/>
      </w:r>
      <w:r>
        <w:rPr>
          <w:rFonts w:ascii="Times New Roman" w:hAnsi="Times New Roman" w:eastAsia="Times New Roman" w:cs="Times New Roman"/>
          <w:sz w:val="24"/>
          <w:szCs w:val="24"/>
        </w:rPr>
        <w:t xml:space="preserve"> If large taxpayers with sophisticated systems struggled, SMEs will experience greater difficulty as digital requirements cascade. Where enforcement proceeds without support for transition, digitalisation becomes punitive.</w:t>
      </w:r>
    </w:p>
    <w:p w14:paraId="3EE4E6EE">
      <w:pPr>
        <w:pStyle w:val="4"/>
      </w:pPr>
      <w:bookmarkStart w:id="70" w:name="_Toc233686239"/>
      <w:r>
        <w:t xml:space="preserve">4.3.5 </w:t>
      </w:r>
      <w:r>
        <w:tab/>
      </w:r>
      <w:r>
        <w:t>Poor public communication</w:t>
      </w:r>
      <w:bookmarkEnd w:id="70"/>
    </w:p>
    <w:p w14:paraId="017785D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Tax compliance is psychological and moral. Taxpayers comply more when they understand the rules and trust the institutions. Hence, resistance arise when communication fails. </w:t>
      </w:r>
      <w:r>
        <w:rPr>
          <w:rFonts w:ascii="Times New Roman" w:hAnsi="Times New Roman" w:eastAsia="Times New Roman" w:cs="Times New Roman"/>
          <w:bCs/>
          <w:sz w:val="24"/>
          <w:szCs w:val="24"/>
        </w:rPr>
        <w:t xml:space="preserve">There were </w:t>
      </w:r>
      <w:r>
        <w:rPr>
          <w:rFonts w:ascii="Times New Roman" w:hAnsi="Times New Roman" w:eastAsia="Times New Roman" w:cs="Times New Roman"/>
          <w:sz w:val="24"/>
          <w:szCs w:val="24"/>
        </w:rPr>
        <w:t xml:space="preserve">claims by opposition lawmakers that the </w:t>
      </w:r>
      <w:r>
        <w:rPr>
          <w:rFonts w:ascii="Times New Roman" w:hAnsi="Times New Roman" w:eastAsia="Times New Roman" w:cs="Times New Roman"/>
          <w:bCs/>
          <w:sz w:val="24"/>
          <w:szCs w:val="24"/>
        </w:rPr>
        <w:t>gazetted</w:t>
      </w:r>
      <w:r>
        <w:rPr>
          <w:rFonts w:ascii="Times New Roman" w:hAnsi="Times New Roman" w:eastAsia="Times New Roman" w:cs="Times New Roman"/>
          <w:sz w:val="24"/>
          <w:szCs w:val="24"/>
        </w:rPr>
        <w:t xml:space="preserve"> version of the new tax laws differed from the version passed by parliament. They alleged that there were “unauthorised additions” and this grants excessive powers.</w:t>
      </w:r>
      <w:r>
        <w:rPr>
          <w:rStyle w:val="16"/>
          <w:rFonts w:ascii="Times New Roman" w:hAnsi="Times New Roman" w:eastAsia="Times New Roman" w:cs="Times New Roman"/>
          <w:sz w:val="24"/>
          <w:szCs w:val="24"/>
        </w:rPr>
        <w:footnoteReference w:id="164"/>
      </w:r>
      <w:r>
        <w:rPr>
          <w:rFonts w:ascii="Times New Roman" w:hAnsi="Times New Roman" w:eastAsia="Times New Roman" w:cs="Times New Roman"/>
          <w:sz w:val="24"/>
          <w:szCs w:val="24"/>
        </w:rPr>
        <w:t xml:space="preserve"> Tinubu dismissed the concerns. Nonetheless, he promised engagement while proceeding with implementation.</w:t>
      </w:r>
      <w:r>
        <w:rPr>
          <w:rStyle w:val="16"/>
          <w:rFonts w:ascii="Times New Roman" w:hAnsi="Times New Roman" w:eastAsia="Times New Roman" w:cs="Times New Roman"/>
          <w:sz w:val="24"/>
          <w:szCs w:val="24"/>
        </w:rPr>
        <w:footnoteReference w:id="165"/>
      </w:r>
      <w:r>
        <w:rPr>
          <w:rFonts w:ascii="Times New Roman" w:hAnsi="Times New Roman" w:eastAsia="Times New Roman" w:cs="Times New Roman"/>
          <w:sz w:val="24"/>
          <w:szCs w:val="24"/>
        </w:rPr>
        <w:t xml:space="preserve"> Even where government disputes these claims, the controversy itself harms legitimacy. It frames reform as coercion and it also creates uncertainty for both taxpayers and administrators. When official guidance is unclear, taxpayers seek relief through court. It was reported that an FCT High Court refused to stop implementation of the new tax laws as they scheduled come into force from 1 January 2026.</w:t>
      </w:r>
      <w:r>
        <w:rPr>
          <w:rStyle w:val="16"/>
          <w:rFonts w:ascii="Times New Roman" w:hAnsi="Times New Roman" w:eastAsia="Times New Roman" w:cs="Times New Roman"/>
          <w:sz w:val="24"/>
          <w:szCs w:val="24"/>
        </w:rPr>
        <w:footnoteReference w:id="166"/>
      </w:r>
      <w:r>
        <w:rPr>
          <w:rFonts w:ascii="Times New Roman" w:hAnsi="Times New Roman" w:eastAsia="Times New Roman" w:cs="Times New Roman"/>
          <w:sz w:val="24"/>
          <w:szCs w:val="24"/>
        </w:rPr>
        <w:t xml:space="preserve"> </w:t>
      </w:r>
    </w:p>
    <w:p w14:paraId="2F496B94">
      <w:pPr>
        <w:pStyle w:val="4"/>
      </w:pPr>
      <w:bookmarkStart w:id="71" w:name="_Toc233686240"/>
      <w:r>
        <w:t xml:space="preserve">4.3.6 </w:t>
      </w:r>
      <w:r>
        <w:tab/>
      </w:r>
      <w:r>
        <w:t>Corruption and discretion-driven enforcement</w:t>
      </w:r>
      <w:bookmarkEnd w:id="71"/>
    </w:p>
    <w:p w14:paraId="0A65A71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Corruption is a predictable consequence of opaque processes and high discretion. Tax reforms would reduce corruption if they standardise procedures and digitalise key interactions. Nonetheless, they may also shift corruption into new forms. These include onboarding “gatekeeping,” selective enforcement, manipulation of exemptions, coercive settlements. Tax dispute institutions have insisted repeatedly that tax authorities must respect statutory rights to objection and procedural steps. Ponticelli Upstream v Federal Inland Revenue Service,</w:t>
      </w:r>
      <w:r>
        <w:rPr>
          <w:rStyle w:val="16"/>
          <w:rFonts w:ascii="Times New Roman" w:hAnsi="Times New Roman" w:eastAsia="Times New Roman" w:cs="Times New Roman"/>
          <w:sz w:val="24"/>
          <w:szCs w:val="24"/>
        </w:rPr>
        <w:footnoteReference w:id="167"/>
      </w:r>
      <w:r>
        <w:rPr>
          <w:rFonts w:ascii="Times New Roman" w:hAnsi="Times New Roman" w:eastAsia="Times New Roman" w:cs="Times New Roman"/>
          <w:sz w:val="24"/>
          <w:szCs w:val="24"/>
        </w:rPr>
        <w:t xml:space="preserve"> the Tax Appeal Tribunal, Lagos Zone held that it unconstitutional to finalise an assessment where the taxpayer was denied the statutory right to object. It set aside additional assessments and demand notices on grounds of fair hearing.</w:t>
      </w:r>
      <w:r>
        <w:rPr>
          <w:rStyle w:val="16"/>
          <w:rFonts w:ascii="Times New Roman" w:hAnsi="Times New Roman" w:eastAsia="Times New Roman" w:cs="Times New Roman"/>
          <w:sz w:val="24"/>
          <w:szCs w:val="24"/>
        </w:rPr>
        <w:footnoteReference w:id="168"/>
      </w:r>
      <w:r>
        <w:rPr>
          <w:rFonts w:ascii="Times New Roman" w:hAnsi="Times New Roman" w:eastAsia="Times New Roman" w:cs="Times New Roman"/>
          <w:sz w:val="24"/>
          <w:szCs w:val="24"/>
        </w:rPr>
        <w:t xml:space="preserve"> In essence, where corruption pushes authorities to shortcut the processes  of objection (to force settlements), assessments become legally vulnerable. Conversely, where dispute rights are respected, coercive “rent-seeking” becomes harder.</w:t>
      </w:r>
    </w:p>
    <w:p w14:paraId="18664E4E">
      <w:pPr>
        <w:pStyle w:val="4"/>
      </w:pPr>
      <w:bookmarkStart w:id="72" w:name="_Toc233686241"/>
      <w:r>
        <w:t xml:space="preserve">4.3.7 </w:t>
      </w:r>
      <w:r>
        <w:tab/>
      </w:r>
      <w:r>
        <w:t>Taxpayer resistance</w:t>
      </w:r>
      <w:bookmarkEnd w:id="72"/>
      <w:r>
        <w:t xml:space="preserve"> </w:t>
      </w:r>
    </w:p>
    <w:p w14:paraId="5A48337D">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Resistance is rational when there is hardship and weak public service delivery. Implementation may trigger resistance through:</w:t>
      </w:r>
    </w:p>
    <w:p w14:paraId="257C577B">
      <w:pPr>
        <w:pStyle w:val="27"/>
        <w:numPr>
          <w:ilvl w:val="0"/>
          <w:numId w:val="10"/>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expanded obligations (e-invoicing; digital trails);</w:t>
      </w:r>
    </w:p>
    <w:p w14:paraId="601A14FD">
      <w:pPr>
        <w:pStyle w:val="27"/>
        <w:numPr>
          <w:ilvl w:val="0"/>
          <w:numId w:val="10"/>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fear of aggressive enforcement;</w:t>
      </w:r>
    </w:p>
    <w:p w14:paraId="0D7B49C0">
      <w:pPr>
        <w:pStyle w:val="27"/>
        <w:numPr>
          <w:ilvl w:val="0"/>
          <w:numId w:val="10"/>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multiplicity of demands across tiers; and</w:t>
      </w:r>
    </w:p>
    <w:p w14:paraId="46D34E29">
      <w:pPr>
        <w:pStyle w:val="27"/>
        <w:numPr>
          <w:ilvl w:val="0"/>
          <w:numId w:val="10"/>
        </w:num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distrust caused by legal/political controversies.</w:t>
      </w:r>
    </w:p>
    <w:p w14:paraId="21CB058F">
      <w:pPr>
        <w:spacing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 xml:space="preserve">If dispute mechanisms are inaccessible or biased, taxpayers will not use them. Resistance then shifts into informal strategies. This includes relying on cash economy and in turn, it would neutralise the revenue goals of the reform. </w:t>
      </w:r>
    </w:p>
    <w:p w14:paraId="070D6C0C">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14:paraId="783429AB">
      <w:pPr>
        <w:pStyle w:val="2"/>
      </w:pPr>
      <w:bookmarkStart w:id="73" w:name="_Toc233686242"/>
      <w:r>
        <w:t>CHAPTER FIVE</w:t>
      </w:r>
      <w:bookmarkEnd w:id="73"/>
    </w:p>
    <w:p w14:paraId="28252CE1">
      <w:pPr>
        <w:pStyle w:val="2"/>
      </w:pPr>
      <w:bookmarkStart w:id="74" w:name="_Toc233686243"/>
      <w:r>
        <w:t>SUMMARY OF FINDINGS, RECOMMENDATIONS CONCLUSION</w:t>
      </w:r>
      <w:bookmarkEnd w:id="74"/>
    </w:p>
    <w:p w14:paraId="3C5AA541">
      <w:pPr>
        <w:pStyle w:val="3"/>
      </w:pPr>
      <w:bookmarkStart w:id="75" w:name="_Toc233686244"/>
      <w:r>
        <w:t xml:space="preserve">5.1 </w:t>
      </w:r>
      <w:r>
        <w:tab/>
      </w:r>
      <w:r>
        <w:t>Summary of Findings</w:t>
      </w:r>
      <w:bookmarkEnd w:id="75"/>
      <w:r>
        <w:t xml:space="preserve"> </w:t>
      </w:r>
    </w:p>
    <w:p w14:paraId="4EDB4759">
      <w:pPr>
        <w:spacing w:line="480" w:lineRule="auto"/>
        <w:jc w:val="both"/>
        <w:rPr>
          <w:rFonts w:ascii="Times New Roman" w:hAnsi="Times New Roman" w:cs="Times New Roman"/>
          <w:sz w:val="24"/>
          <w:szCs w:val="24"/>
        </w:rPr>
      </w:pPr>
      <w:r>
        <w:rPr>
          <w:rFonts w:ascii="Times New Roman" w:hAnsi="Times New Roman" w:cs="Times New Roman"/>
          <w:sz w:val="24"/>
          <w:szCs w:val="24"/>
        </w:rPr>
        <w:t>This project has examined</w:t>
      </w:r>
      <w:r>
        <w:rPr>
          <w:rFonts w:ascii="Times New Roman" w:hAnsi="Times New Roman" w:eastAsia="Times New Roman" w:cs="Times New Roman"/>
          <w:sz w:val="24"/>
          <w:szCs w:val="24"/>
        </w:rPr>
        <w:t xml:space="preserve"> the </w:t>
      </w:r>
      <w:r>
        <w:rPr>
          <w:rFonts w:ascii="Times New Roman" w:hAnsi="Times New Roman" w:eastAsia="Times New Roman" w:cs="Times New Roman"/>
          <w:bCs/>
          <w:sz w:val="24"/>
          <w:szCs w:val="24"/>
        </w:rPr>
        <w:t xml:space="preserve">Tax Reforms under Ahmed Tinubu’s Administration in Nigeria. Firstly, the project </w:t>
      </w:r>
      <w:r>
        <w:rPr>
          <w:rFonts w:ascii="Times New Roman" w:hAnsi="Times New Roman" w:eastAsia="Times New Roman" w:cs="Times New Roman"/>
          <w:sz w:val="24"/>
          <w:szCs w:val="24"/>
        </w:rPr>
        <w:t xml:space="preserve">assessed Tax Reforms under Ahmed Tinubu’s Administration in Nigeria. It was found that Tinubu’s administration enacted a new “Tax Reform Acts” package. The reforms includes around four statutes enacted in June 2025. They include </w:t>
      </w:r>
      <w:r>
        <w:rPr>
          <w:rFonts w:ascii="Times New Roman" w:hAnsi="Times New Roman" w:eastAsia="Times New Roman" w:cs="Times New Roman"/>
          <w:bCs/>
          <w:sz w:val="24"/>
          <w:szCs w:val="24"/>
        </w:rPr>
        <w:t xml:space="preserve">Nigeria Tax Act (NTA) 2025, Nigeria Tax Administration Act (NTAA) 2025, Nigeria Revenue Service (Establishment) Act 2025 and Joint Revenue Board Establishment Act (JRBA/JREA) 2025. The new legislations consolidate the tax regime. </w:t>
      </w:r>
      <w:r>
        <w:rPr>
          <w:rFonts w:ascii="Times New Roman" w:hAnsi="Times New Roman" w:eastAsia="Times New Roman" w:cs="Times New Roman"/>
          <w:sz w:val="24"/>
          <w:szCs w:val="24"/>
        </w:rPr>
        <w:t xml:space="preserve">However, consolidation also creates uncertainty in transition. When older statutes are repealed/amended and new definitions introduced, disputes multiply over what survives. </w:t>
      </w:r>
      <w:r>
        <w:rPr>
          <w:rFonts w:ascii="Times New Roman" w:hAnsi="Times New Roman" w:eastAsia="Times New Roman" w:cs="Times New Roman"/>
          <w:bCs/>
          <w:sz w:val="24"/>
          <w:szCs w:val="24"/>
        </w:rPr>
        <w:t xml:space="preserve">There were also VAT reforms. </w:t>
      </w:r>
      <w:r>
        <w:rPr>
          <w:rFonts w:ascii="Times New Roman" w:hAnsi="Times New Roman" w:eastAsia="Times New Roman" w:cs="Times New Roman"/>
          <w:sz w:val="24"/>
          <w:szCs w:val="24"/>
        </w:rPr>
        <w:t xml:space="preserve">VAT reforms are among the most sensitive changes because VAT touches everyday consumption. The reform also expands VAT relief on certain essential goods/services. There are </w:t>
      </w:r>
      <w:r>
        <w:rPr>
          <w:rFonts w:ascii="Times New Roman" w:hAnsi="Times New Roman" w:eastAsia="Times New Roman" w:cs="Times New Roman"/>
          <w:bCs/>
          <w:sz w:val="24"/>
          <w:szCs w:val="24"/>
        </w:rPr>
        <w:t>exemptions/zero-rating of “essential” items</w:t>
      </w:r>
      <w:r>
        <w:rPr>
          <w:rFonts w:ascii="Times New Roman" w:hAnsi="Times New Roman" w:eastAsia="Times New Roman" w:cs="Times New Roman"/>
          <w:sz w:val="24"/>
          <w:szCs w:val="24"/>
        </w:rPr>
        <w:t xml:space="preserve"> these includes sanitary products, tuition-related supplies, electricity/energy categories, medical/pharmaceutical items and certain exports, among others. Going further, Chargeable gains are now taxed under progressive personal income tax rates (up to 25%) rather than the legacy flat CGT rate. The Nigeria Revenue Service (Establishment) Act 2025 also rebranded FIRS as NRS and positions it as the central authority to assess, collect, and account for federal revenues. The new reforms also introduced National e-Invoicing / Electronic Fiscal System. E-invoicing is one of the most transformative reforms because it changes the state’s information position. It reduces under-reporting by requiring transactions to be recorded through approved electronic systems (often described as “fiscalisation”). The reform also introduced withholding tax reform on short-term instruments. </w:t>
      </w:r>
    </w:p>
    <w:p w14:paraId="24B43918">
      <w:pPr>
        <w:spacing w:line="48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Secondly, the project also assessed the impacts of the Tax Reforms under Ahmed Tinubu’s Administration in Nigeria. It was found that tax reforms impacted government and fiscal sustainability positively and negatively. Positively, it improved capacity to mobilise non-oil revenue (medium-term) and compliance and audit resources were better targeted. There is also higher fiscal credibility through a clearer legal architecture. Negatively, it created uncertainty for short term revenue due to exemptions and transitions and Macro headwinds drowns out tax improvements. The Tax reforms also impacted businesses positively and negatively. Positively, it reduces the problem of “unfair competition” potentially. In addition, </w:t>
      </w:r>
      <w:r>
        <w:rPr>
          <w:rFonts w:ascii="Times New Roman" w:hAnsi="Times New Roman" w:eastAsia="Times New Roman" w:cs="Times New Roman"/>
          <w:sz w:val="24"/>
          <w:szCs w:val="24"/>
        </w:rPr>
        <w:t>the business environment becomes more navigable if the unified administration reduces duplicative filing and standardise processes across agencies. More so, the Supreme Court confirmed the place of the Tax Appeal Tribunal in the dispute architecture. Hence, business confidence would increase when the pathway for dispute is clear. Negatively, business would be burdened with the high cost of compliance and integration of the new reforms under digitalisation. In addition, transitional uncertainty increases disputes. The tax reforms impacted households and cost of living positively and negatively. Positively, VAT exemptions on essentials soften regressivity. In addition, if reforms increase revenue, government may have more fiscal space to fund social services and stabilise macro conditions. Negatively, even if VAT is removed from certain essentials, retailers and producers may not reduce prices proportionately. Hence, tax relief may not reach consumers. In addition, digital compliance create “equity by exclusion.” The reform impacted investment and employment positively and negatively. Positively, a clearer tax framework attracts investment. In addition, stronger revenue as a result of tax improves macro stability. Negatively, the cost of compliance may reduce hiring. In addition, the controversy about the policy undermines the confidence of investors. The tax reforms also impacted the culture of tax compliance and administrative efficiency positively and negatively. Positively, it brought about a shift from from “raid compliance” to “system compliance.” In addition, there are structured tribunal pathways. Hence, taxpayers may be more willing to comply and contest lawfully. Negatively, there is a risk of “digital authoritarianism” in tax enforcement. In addition, in a country with infrastructure deficits, technical failure would cause non-compliance. If penalties are applied rigidly, the system becomes unjust. Taxpayers are punished for state and infrastructure weaknesses.</w:t>
      </w:r>
    </w:p>
    <w:p w14:paraId="7E51E0B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Thirdly, the project also assessed the challenges in the implementation of the Tax Reforms. It was found that there is </w:t>
      </w:r>
      <w:r>
        <w:rPr>
          <w:rFonts w:ascii="Times New Roman" w:hAnsi="Times New Roman" w:eastAsia="Times New Roman" w:cs="Times New Roman"/>
          <w:bCs/>
          <w:sz w:val="24"/>
          <w:szCs w:val="24"/>
        </w:rPr>
        <w:t>the problem of</w:t>
      </w:r>
      <w:r>
        <w:rPr>
          <w:rFonts w:ascii="Times New Roman" w:hAnsi="Times New Roman" w:eastAsia="Times New Roman" w:cs="Times New Roman"/>
          <w:sz w:val="24"/>
          <w:szCs w:val="24"/>
        </w:rPr>
        <w:t xml:space="preserve"> “multiple taxation” in Nigeria is systemic. More so, the laws are fragmented and there is uncertainty in transition. Even where statutes consolidate rules, new definitions and enforcement pathways create disputes about interpretation. There is also weak coordination among agencies. In addition, there are infrastructural deficit and this makes “digital compliance” uneven. It becomes more feasible in bigger corporations. Conversely, it becomes less feasible for SMEs. There is failure in communication regarding the tax reforms. Tax compliance is psychological and moral. Crucially, taxpayers comply more when they understand the rules and trust the institutions. Going further, Corruption is also a challenge to implementation. Corruption is a consequence of opaque processes. Tax reforms would reduce corruption if they standardise procedures as well as digitalise key interactions. Nonetheless, they may also shift corruption into new forms. These include onboarding “gatekeeping,” selective enforcement, manipulation of exemptions, coercive settlements. Ultimately, taxpayers resistance  is challenge to implementation. </w:t>
      </w:r>
    </w:p>
    <w:p w14:paraId="67DF5635">
      <w:pPr>
        <w:spacing w:line="480" w:lineRule="auto"/>
        <w:jc w:val="both"/>
        <w:rPr>
          <w:rFonts w:ascii="Times New Roman" w:hAnsi="Times New Roman" w:eastAsia="Times New Roman" w:cs="Times New Roman"/>
          <w:sz w:val="24"/>
          <w:szCs w:val="24"/>
        </w:rPr>
      </w:pPr>
    </w:p>
    <w:p w14:paraId="10B83CA2">
      <w:pPr>
        <w:spacing w:line="480" w:lineRule="auto"/>
        <w:jc w:val="both"/>
        <w:rPr>
          <w:rFonts w:ascii="Times New Roman" w:hAnsi="Times New Roman" w:eastAsia="Times New Roman" w:cs="Times New Roman"/>
          <w:sz w:val="24"/>
          <w:szCs w:val="24"/>
        </w:rPr>
      </w:pPr>
    </w:p>
    <w:p w14:paraId="287376BF">
      <w:pPr>
        <w:pStyle w:val="3"/>
        <w:rPr>
          <w:lang w:val="en-US"/>
        </w:rPr>
      </w:pPr>
      <w:bookmarkStart w:id="76" w:name="_Toc233686245"/>
      <w:r>
        <w:rPr>
          <w:lang w:val="en-US"/>
        </w:rPr>
        <w:t xml:space="preserve">5.2 </w:t>
      </w:r>
      <w:r>
        <w:rPr>
          <w:lang w:val="en-US"/>
        </w:rPr>
        <w:tab/>
      </w:r>
      <w:r>
        <w:rPr>
          <w:lang w:val="en-US"/>
        </w:rPr>
        <w:t>Recommendations</w:t>
      </w:r>
      <w:bookmarkEnd w:id="76"/>
    </w:p>
    <w:p w14:paraId="0EF0B896">
      <w:pPr>
        <w:spacing w:line="480" w:lineRule="auto"/>
        <w:jc w:val="both"/>
        <w:rPr>
          <w:rFonts w:ascii="Times New Roman" w:hAnsi="Times New Roman" w:cs="Times New Roman"/>
          <w:sz w:val="24"/>
          <w:szCs w:val="24"/>
        </w:rPr>
      </w:pPr>
      <w:r>
        <w:rPr>
          <w:rFonts w:ascii="Times New Roman" w:hAnsi="Times New Roman" w:cs="Times New Roman"/>
          <w:sz w:val="24"/>
          <w:szCs w:val="24"/>
        </w:rPr>
        <w:t>Based on the aforementioned findings, we propose the following recommendations:</w:t>
      </w:r>
    </w:p>
    <w:p w14:paraId="2C32EAE9">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i. Establish a Tax Reform Transition and Interpretation Framework</w:t>
      </w:r>
    </w:p>
    <w:p w14:paraId="45E30234">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One of the clearest findings of this study is that the 2025 tax reform has generated transition uncertainty. A major recommendation, therefore, is that there is need for a </w:t>
      </w:r>
      <w:r>
        <w:rPr>
          <w:rFonts w:ascii="Times New Roman" w:hAnsi="Times New Roman" w:eastAsia="Times New Roman" w:cs="Times New Roman"/>
          <w:bCs/>
          <w:sz w:val="24"/>
          <w:szCs w:val="24"/>
          <w:lang w:val="en-US"/>
        </w:rPr>
        <w:t>Tax Reform Transition and Interpretation Framework</w:t>
      </w:r>
      <w:r>
        <w:rPr>
          <w:rFonts w:ascii="Times New Roman" w:hAnsi="Times New Roman" w:eastAsia="Times New Roman" w:cs="Times New Roman"/>
          <w:sz w:val="24"/>
          <w:szCs w:val="24"/>
          <w:lang w:val="en-US"/>
        </w:rPr>
        <w:t xml:space="preserve"> through an official implementation instrument and this should be issued jointly by the Nigeria Revenue Service, the Federal Ministry of Finance and the Joint Revenue Board. This framework should contain interpretive notes on ambiguous provisions and rules on pending liabilities and disputes. It should also distinguish between immediate obligations, phased obligations, and deferred obligations. This is necessary because reforms of this scale fail when administrators or even courts are left to interpret change without a common guide. Hence, the government should adopt a </w:t>
      </w:r>
      <w:r>
        <w:rPr>
          <w:rFonts w:ascii="Times New Roman" w:hAnsi="Times New Roman" w:eastAsia="Times New Roman" w:cs="Times New Roman"/>
          <w:bCs/>
          <w:sz w:val="24"/>
          <w:szCs w:val="24"/>
          <w:lang w:val="en-US"/>
        </w:rPr>
        <w:t>twelve-to-eighteen-month managed transition window</w:t>
      </w:r>
      <w:r>
        <w:rPr>
          <w:rFonts w:ascii="Times New Roman" w:hAnsi="Times New Roman" w:eastAsia="Times New Roman" w:cs="Times New Roman"/>
          <w:sz w:val="24"/>
          <w:szCs w:val="24"/>
          <w:lang w:val="en-US"/>
        </w:rPr>
        <w:t xml:space="preserve"> for the most technical parts of the reform.</w:t>
      </w:r>
      <w:r>
        <w:rPr>
          <w:rStyle w:val="16"/>
          <w:rFonts w:ascii="Times New Roman" w:hAnsi="Times New Roman" w:eastAsia="Times New Roman" w:cs="Times New Roman"/>
          <w:sz w:val="24"/>
          <w:szCs w:val="24"/>
          <w:lang w:val="en-US"/>
        </w:rPr>
        <w:footnoteReference w:id="169"/>
      </w:r>
      <w:r>
        <w:rPr>
          <w:rFonts w:ascii="Times New Roman" w:hAnsi="Times New Roman" w:eastAsia="Times New Roman" w:cs="Times New Roman"/>
          <w:sz w:val="24"/>
          <w:szCs w:val="24"/>
          <w:lang w:val="en-US"/>
        </w:rPr>
        <w:t xml:space="preserve"> </w:t>
      </w:r>
    </w:p>
    <w:p w14:paraId="38E73E09">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ii. Create a National Single Taxpayer Compliance Portal across All Tiers of Government</w:t>
      </w:r>
    </w:p>
    <w:p w14:paraId="574BE805">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The study found that multiple taxation remains one of the barriers to effective tax reform in Nigeria. Even where federal statutes are modernised, taxpayers may still face overlapping demands from federal, state and local authorities. To address this, Nigeria should adopt a </w:t>
      </w:r>
      <w:r>
        <w:rPr>
          <w:rFonts w:ascii="Times New Roman" w:hAnsi="Times New Roman" w:eastAsia="Times New Roman" w:cs="Times New Roman"/>
          <w:bCs/>
          <w:sz w:val="24"/>
          <w:szCs w:val="24"/>
          <w:lang w:val="en-US"/>
        </w:rPr>
        <w:t>National Single Taxpayer Compliance Portal</w:t>
      </w:r>
      <w:r>
        <w:rPr>
          <w:rFonts w:ascii="Times New Roman" w:hAnsi="Times New Roman" w:eastAsia="Times New Roman" w:cs="Times New Roman"/>
          <w:sz w:val="24"/>
          <w:szCs w:val="24"/>
          <w:lang w:val="en-US"/>
        </w:rPr>
        <w:t xml:space="preserve"> that serves as a unified digital entry point for tax registration, tax identification, payment confirmation, filing history and compliance records. Indeed, a unified portal would not automatically remove all constitutional or fiscal overlaps. However, it would drastically improve transparency by showing what tax is payable, to whom, under what authority, and through what channel.</w:t>
      </w:r>
    </w:p>
    <w:p w14:paraId="187D36C1">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iii. Introduce a Small Business Digital Compliance Support Scheme</w:t>
      </w:r>
    </w:p>
    <w:p w14:paraId="5DC4211B">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It was found that digitalisation has the potential to improve tax compliance and reduce under-reporting. However, it may also produce what this project describes as “</w:t>
      </w:r>
      <w:r>
        <w:rPr>
          <w:rFonts w:ascii="Times New Roman" w:hAnsi="Times New Roman" w:eastAsia="Times New Roman" w:cs="Times New Roman"/>
          <w:bCs/>
          <w:sz w:val="24"/>
          <w:szCs w:val="24"/>
          <w:lang w:val="en-US"/>
        </w:rPr>
        <w:t>equity by exclusion”</w:t>
      </w:r>
      <w:r>
        <w:rPr>
          <w:rFonts w:ascii="Times New Roman" w:hAnsi="Times New Roman" w:eastAsia="Times New Roman" w:cs="Times New Roman"/>
          <w:sz w:val="24"/>
          <w:szCs w:val="24"/>
          <w:lang w:val="en-US"/>
        </w:rPr>
        <w:t xml:space="preserve">. Large companies in major cities may adapt to e-invoicing and fiscalisation relatively quickly. Conversely, SMEs and informal traders may struggle with poor electricity supply, unstable internet, cost of software, lack of technical expertise and weak record-keeping culture. For this reason, government should introduce a </w:t>
      </w:r>
      <w:r>
        <w:rPr>
          <w:rFonts w:ascii="Times New Roman" w:hAnsi="Times New Roman" w:eastAsia="Times New Roman" w:cs="Times New Roman"/>
          <w:bCs/>
          <w:sz w:val="24"/>
          <w:szCs w:val="24"/>
          <w:lang w:val="en-US"/>
        </w:rPr>
        <w:t>Small Business Digital Compliance Support Scheme and this should be</w:t>
      </w:r>
      <w:r>
        <w:rPr>
          <w:rFonts w:ascii="Times New Roman" w:hAnsi="Times New Roman" w:eastAsia="Times New Roman" w:cs="Times New Roman"/>
          <w:sz w:val="24"/>
          <w:szCs w:val="24"/>
          <w:lang w:val="en-US"/>
        </w:rPr>
        <w:t xml:space="preserve"> a formal part of tax policy. This scheme should provide simplified e-invoicing tools, free onboarding software for small taxpayers, mobile-based filing alternatives, training workshops, multilingual guidance materials and temporary technical relief for genuine system failure. In addition, taxpayers should be categorised by capacity. More so, technology should be scaled according to taxpayer size and turnover.</w:t>
      </w:r>
    </w:p>
    <w:p w14:paraId="0C68F52C">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iv. Establish a Taxpayer Protection Charter and Procedural Justice Code</w:t>
      </w:r>
    </w:p>
    <w:p w14:paraId="633E42B9">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It was found that the fear of arbitrary enforcement and unclear assessments causes taxpayers resistance. Accordingly, there is a need for a </w:t>
      </w:r>
      <w:r>
        <w:rPr>
          <w:rFonts w:ascii="Times New Roman" w:hAnsi="Times New Roman" w:eastAsia="Times New Roman" w:cs="Times New Roman"/>
          <w:bCs/>
          <w:sz w:val="24"/>
          <w:szCs w:val="24"/>
          <w:lang w:val="en-US"/>
        </w:rPr>
        <w:t>Taxpayer Protection Charter</w:t>
      </w:r>
      <w:r>
        <w:rPr>
          <w:rFonts w:ascii="Times New Roman" w:hAnsi="Times New Roman" w:eastAsia="Times New Roman" w:cs="Times New Roman"/>
          <w:sz w:val="24"/>
          <w:szCs w:val="24"/>
          <w:lang w:val="en-US"/>
        </w:rPr>
        <w:t xml:space="preserve">. This should be backed by a </w:t>
      </w:r>
      <w:r>
        <w:rPr>
          <w:rFonts w:ascii="Times New Roman" w:hAnsi="Times New Roman" w:eastAsia="Times New Roman" w:cs="Times New Roman"/>
          <w:bCs/>
          <w:sz w:val="24"/>
          <w:szCs w:val="24"/>
          <w:lang w:val="en-US"/>
        </w:rPr>
        <w:t>Procedural Justice Code for Tax Administration</w:t>
      </w:r>
      <w:r>
        <w:rPr>
          <w:rFonts w:ascii="Times New Roman" w:hAnsi="Times New Roman" w:eastAsia="Times New Roman" w:cs="Times New Roman"/>
          <w:sz w:val="24"/>
          <w:szCs w:val="24"/>
          <w:lang w:val="en-US"/>
        </w:rPr>
        <w:t xml:space="preserve">. This would state taxpayer rights. This includes the right to clear notice, the right to explanation of liability, the right to object within statutory time, the right to fair hearing, the right to accessible review and appeal, the right to data confidentiality, and the right not to be penalised for verified system failure or official error. The Procedural Justice Code should further prescribe standards for revenue officials, timelines for assessment review, rules for digital evidence, conditions for enforcement action and safeguards against abusive freezing, sealing or distraint practices. Going further, the Tax Ombud should be redesigned into a </w:t>
      </w:r>
      <w:r>
        <w:rPr>
          <w:rFonts w:ascii="Times New Roman" w:hAnsi="Times New Roman" w:eastAsia="Times New Roman" w:cs="Times New Roman"/>
          <w:bCs/>
          <w:sz w:val="24"/>
          <w:szCs w:val="24"/>
          <w:lang w:val="en-US"/>
        </w:rPr>
        <w:t>Taxpayer Protection and Redress Office</w:t>
      </w:r>
      <w:r>
        <w:rPr>
          <w:rFonts w:ascii="Times New Roman" w:hAnsi="Times New Roman" w:eastAsia="Times New Roman" w:cs="Times New Roman"/>
          <w:sz w:val="24"/>
          <w:szCs w:val="24"/>
          <w:lang w:val="en-US"/>
        </w:rPr>
        <w:t xml:space="preserve">. </w:t>
      </w:r>
    </w:p>
    <w:p w14:paraId="00E7E8D6">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v. Adopt a Public Tax Communication and Legitimacy Strategy</w:t>
      </w:r>
    </w:p>
    <w:p w14:paraId="63F74347">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The study found that poor communication impacted implementation.  The reforms were introduced in a sensitive environment. More so, there were controversy surrounding the content and implementation of the laws. In tax administration, silence creates rumour, and rumour creates resistance. Therefore, the government should adopt a </w:t>
      </w:r>
      <w:r>
        <w:rPr>
          <w:rFonts w:ascii="Times New Roman" w:hAnsi="Times New Roman" w:eastAsia="Times New Roman" w:cs="Times New Roman"/>
          <w:bCs/>
          <w:sz w:val="24"/>
          <w:szCs w:val="24"/>
          <w:lang w:val="en-US"/>
        </w:rPr>
        <w:t xml:space="preserve">Public Tax Communication and Legitimacy Strategy. </w:t>
      </w:r>
      <w:r>
        <w:rPr>
          <w:rFonts w:ascii="Times New Roman" w:hAnsi="Times New Roman" w:eastAsia="Times New Roman" w:cs="Times New Roman"/>
          <w:sz w:val="24"/>
          <w:szCs w:val="24"/>
          <w:lang w:val="en-US"/>
        </w:rPr>
        <w:t xml:space="preserve">This would go beyond press statements and technical circulars. It would also engage with taxpayers, trade bodies, market associations, professional organisations, transport unions, manufacturers, civil society and subnational stakeholders. Importantly, communication should not be one-way. Rather, there should be a formal feedback mechanism through which taxpayers identify confusing provisions and technical problems. </w:t>
      </w:r>
    </w:p>
    <w:p w14:paraId="68B5F0AA">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vi. Build Anti-Corruption Controls into Tax Administration Design</w:t>
      </w:r>
    </w:p>
    <w:p w14:paraId="6503A274">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It was found that corruption may not disappear under reform. It may simply change form. Therefore, anti-corruption controls must be embedded into the design of implementation itself. A </w:t>
      </w:r>
      <w:r>
        <w:rPr>
          <w:rFonts w:ascii="Times New Roman" w:hAnsi="Times New Roman" w:eastAsia="Times New Roman" w:cs="Times New Roman"/>
          <w:bCs/>
          <w:sz w:val="24"/>
          <w:szCs w:val="24"/>
          <w:lang w:val="en-US"/>
        </w:rPr>
        <w:t>Tax Administration Integrity Protocol</w:t>
      </w:r>
      <w:r>
        <w:rPr>
          <w:rFonts w:ascii="Times New Roman" w:hAnsi="Times New Roman" w:eastAsia="Times New Roman" w:cs="Times New Roman"/>
          <w:sz w:val="24"/>
          <w:szCs w:val="24"/>
          <w:lang w:val="en-US"/>
        </w:rPr>
        <w:t xml:space="preserve"> should be created. This should be applicable to all revenue authorities participating in the new regime. This protocol should require that digital audit trail should be left by every assessment, exemption, enforcement step, settlement and trigger for compliance. Any deviation from standard procedure should generate supervisory review.  In addition, tax payments should be cashless and traceable. No taxpayer should be required to make off-platform or officer-mediated payments. </w:t>
      </w:r>
    </w:p>
    <w:p w14:paraId="222EE490">
      <w:pPr>
        <w:spacing w:line="48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vii. Link Revenue Collection to Visible Social Accountability</w:t>
      </w:r>
    </w:p>
    <w:p w14:paraId="2B2C2C28">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It was found that tax payer resistance is caused by weak fiscal social contract in Nigeria. Many citizens do not see taxation as a reciprocal civic obligation because they do not see corresponding improvement in infrastructure or service delivery. Government should therefore adopt a </w:t>
      </w:r>
      <w:r>
        <w:rPr>
          <w:rFonts w:ascii="Times New Roman" w:hAnsi="Times New Roman" w:eastAsia="Times New Roman" w:cs="Times New Roman"/>
          <w:bCs/>
          <w:sz w:val="24"/>
          <w:szCs w:val="24"/>
          <w:lang w:val="en-US"/>
        </w:rPr>
        <w:t>Revenue-to-Visibility Policy Model</w:t>
      </w:r>
      <w:r>
        <w:rPr>
          <w:rFonts w:ascii="Times New Roman" w:hAnsi="Times New Roman" w:eastAsia="Times New Roman" w:cs="Times New Roman"/>
          <w:sz w:val="24"/>
          <w:szCs w:val="24"/>
          <w:lang w:val="en-US"/>
        </w:rPr>
        <w:t xml:space="preserve"> under which a measurable percentage of incremental tax revenue from reform implementation is tied to visible sectors such as primary healthcare, roads, electricity support for productive clusters, public schools and social protection. This does not require formal revenue earmarking in the strict legal sense. Rather, the use of reform-generated revenue should be reported transparently. An annual </w:t>
      </w:r>
      <w:r>
        <w:rPr>
          <w:rFonts w:ascii="Times New Roman" w:hAnsi="Times New Roman" w:eastAsia="Times New Roman" w:cs="Times New Roman"/>
          <w:bCs/>
          <w:sz w:val="24"/>
          <w:szCs w:val="24"/>
          <w:lang w:val="en-US"/>
        </w:rPr>
        <w:t>Taxpayer Benefit Statement</w:t>
      </w:r>
      <w:r>
        <w:rPr>
          <w:rFonts w:ascii="Times New Roman" w:hAnsi="Times New Roman" w:eastAsia="Times New Roman" w:cs="Times New Roman"/>
          <w:sz w:val="24"/>
          <w:szCs w:val="24"/>
          <w:lang w:val="en-US"/>
        </w:rPr>
        <w:t xml:space="preserve"> should be published in accessible language. </w:t>
      </w:r>
    </w:p>
    <w:p w14:paraId="5F885894">
      <w:pPr>
        <w:pStyle w:val="3"/>
        <w:rPr>
          <w:lang w:val="en-US"/>
        </w:rPr>
      </w:pPr>
      <w:bookmarkStart w:id="77" w:name="_Toc233686246"/>
      <w:r>
        <w:rPr>
          <w:lang w:val="en-US"/>
        </w:rPr>
        <w:t xml:space="preserve">5.3 </w:t>
      </w:r>
      <w:r>
        <w:rPr>
          <w:lang w:val="en-US"/>
        </w:rPr>
        <w:tab/>
      </w:r>
      <w:r>
        <w:rPr>
          <w:lang w:val="en-US"/>
        </w:rPr>
        <w:t>Conclusion</w:t>
      </w:r>
      <w:bookmarkEnd w:id="77"/>
    </w:p>
    <w:p w14:paraId="76A6B5AB">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This project examined the tax reforms under Ahmed Tinubu’s administration in Nigeria and it is found that they represent a major attempt to restructure, modernise and centralise the tax system in the country. The reform package is significant because it moves beyond isolated amendments. Instead, it reconfigures the legal and institutional architecture of taxation. In that respect, the reforms mark a shift in the fiscal history in Nigeria. However, the project also found that legislative ambition does not always translate into success. Indeed, the reforms promise efficiency. However, they also generate serious challenges. These include uncertainty in transition, multiple taxation, weak coordination between agencies, infrastructural limitations, corruption, poor public communication and taxpayer resistance. In essence, the reforms are promising as well as fragile.</w:t>
      </w:r>
    </w:p>
    <w:p w14:paraId="1A1AB596">
      <w:pPr>
        <w:spacing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Based on the foregoing, the success of the Tinubu tax reforms depends less on new laws and more on the quality of implementation. When a reform that is sound constitutionally but confusing administratively, it will fail in practice. For reform to succeed, it must be lawful and transparent. Therefore, the Tinubu tax reform is a fiscal opportunity. However, it requires policy management. If implemented efficiently, the reforms may strengthen the tax culture and fiscal sustainability in Nigeria. But if these measures are ignored, the reforms may reproduce old problems in a new statutory form. </w:t>
      </w:r>
    </w:p>
    <w:p w14:paraId="5A44CD47">
      <w:pPr>
        <w:spacing w:before="100" w:beforeAutospacing="1" w:after="100" w:afterAutospacing="1" w:line="480" w:lineRule="auto"/>
        <w:jc w:val="both"/>
        <w:rPr>
          <w:rFonts w:ascii="Times New Roman" w:hAnsi="Times New Roman" w:eastAsia="Times New Roman" w:cs="Times New Roman"/>
          <w:sz w:val="24"/>
          <w:szCs w:val="24"/>
          <w:lang w:val="en-US"/>
        </w:rPr>
      </w:pPr>
    </w:p>
    <w:p w14:paraId="7348B7D2">
      <w:pPr>
        <w:spacing w:before="100" w:beforeAutospacing="1" w:after="100" w:afterAutospacing="1" w:line="480" w:lineRule="auto"/>
        <w:jc w:val="both"/>
        <w:rPr>
          <w:rFonts w:ascii="Times New Roman" w:hAnsi="Times New Roman" w:eastAsia="Times New Roman" w:cs="Times New Roman"/>
          <w:sz w:val="24"/>
          <w:szCs w:val="24"/>
          <w:lang w:val="en-US"/>
        </w:rPr>
      </w:pPr>
    </w:p>
    <w:p w14:paraId="2A632086">
      <w:pPr>
        <w:rPr>
          <w:rFonts w:ascii="Times New Roman" w:hAnsi="Times New Roman" w:eastAsia="Times New Roman" w:cs="Times New Roman"/>
          <w:sz w:val="24"/>
          <w:szCs w:val="24"/>
          <w:lang w:val="en-US"/>
        </w:rPr>
        <w:sectPr>
          <w:pgSz w:w="11907" w:h="16839"/>
          <w:pgMar w:top="1440" w:right="1440" w:bottom="1440" w:left="1440" w:header="720" w:footer="720" w:gutter="0"/>
          <w:pgNumType w:start="1"/>
          <w:cols w:space="720" w:num="1"/>
          <w:docGrid w:linePitch="360" w:charSpace="0"/>
        </w:sectPr>
      </w:pPr>
      <w:r>
        <w:rPr>
          <w:rFonts w:ascii="Times New Roman" w:hAnsi="Times New Roman" w:eastAsia="Times New Roman" w:cs="Times New Roman"/>
          <w:sz w:val="24"/>
          <w:szCs w:val="24"/>
          <w:lang w:val="en-US"/>
        </w:rPr>
        <w:br w:type="page"/>
      </w:r>
    </w:p>
    <w:p w14:paraId="1794AC3A">
      <w:pPr>
        <w:pStyle w:val="2"/>
      </w:pPr>
      <w:bookmarkStart w:id="78" w:name="_Toc233686247"/>
      <w:r>
        <w:t>BIBLIOGRAPHY</w:t>
      </w:r>
      <w:bookmarkEnd w:id="78"/>
      <w:r>
        <w:t xml:space="preserve"> </w:t>
      </w:r>
    </w:p>
    <w:p w14:paraId="172B477D">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Books</w:t>
      </w:r>
    </w:p>
    <w:p w14:paraId="00719E0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Aquinas, T, </w:t>
      </w:r>
      <w:r>
        <w:rPr>
          <w:rFonts w:ascii="Times New Roman" w:hAnsi="Times New Roman" w:cs="Times New Roman"/>
          <w:i/>
          <w:iCs/>
          <w:sz w:val="24"/>
          <w:szCs w:val="24"/>
          <w:lang w:val="en-US"/>
        </w:rPr>
        <w:t>Summa Theologiae</w:t>
      </w:r>
      <w:r>
        <w:rPr>
          <w:rFonts w:ascii="Times New Roman" w:hAnsi="Times New Roman" w:cs="Times New Roman"/>
          <w:sz w:val="24"/>
          <w:szCs w:val="24"/>
          <w:lang w:val="en-US"/>
        </w:rPr>
        <w:t xml:space="preserve"> I-II, q 90, art 4.</w:t>
      </w:r>
    </w:p>
    <w:p w14:paraId="18B28DC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Ayua, I A, </w:t>
      </w:r>
      <w:r>
        <w:rPr>
          <w:rFonts w:ascii="Times New Roman" w:hAnsi="Times New Roman" w:cs="Times New Roman"/>
          <w:i/>
          <w:iCs/>
          <w:sz w:val="24"/>
          <w:szCs w:val="24"/>
          <w:lang w:val="en-US"/>
        </w:rPr>
        <w:t>Nigeria Tax Law</w:t>
      </w:r>
      <w:r>
        <w:rPr>
          <w:rFonts w:ascii="Times New Roman" w:hAnsi="Times New Roman" w:cs="Times New Roman"/>
          <w:sz w:val="24"/>
          <w:szCs w:val="24"/>
          <w:lang w:val="en-US"/>
        </w:rPr>
        <w:t xml:space="preserve"> (Spectrum Law Publishing 1996).</w:t>
      </w:r>
    </w:p>
    <w:p w14:paraId="424B7B0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Bentham, J, ‘Anarchical Fallacies’ in Bowring, J (ed), </w:t>
      </w:r>
      <w:r>
        <w:rPr>
          <w:rFonts w:ascii="Times New Roman" w:hAnsi="Times New Roman" w:cs="Times New Roman"/>
          <w:i/>
          <w:iCs/>
          <w:sz w:val="24"/>
          <w:szCs w:val="24"/>
          <w:lang w:val="en-US"/>
        </w:rPr>
        <w:t>The Works of Jeremy Bentham</w:t>
      </w:r>
      <w:r>
        <w:rPr>
          <w:rFonts w:ascii="Times New Roman" w:hAnsi="Times New Roman" w:cs="Times New Roman"/>
          <w:sz w:val="24"/>
          <w:szCs w:val="24"/>
          <w:lang w:val="en-US"/>
        </w:rPr>
        <w:t xml:space="preserve"> vol 2 (William Tait 1843).</w:t>
      </w:r>
    </w:p>
    <w:p w14:paraId="68BDCFE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Cicero, </w:t>
      </w:r>
      <w:r>
        <w:rPr>
          <w:rFonts w:ascii="Times New Roman" w:hAnsi="Times New Roman" w:cs="Times New Roman"/>
          <w:i/>
          <w:iCs/>
          <w:sz w:val="24"/>
          <w:szCs w:val="24"/>
          <w:lang w:val="en-US"/>
        </w:rPr>
        <w:t>De Legibus</w:t>
      </w:r>
      <w:r>
        <w:rPr>
          <w:rFonts w:ascii="Times New Roman" w:hAnsi="Times New Roman" w:cs="Times New Roman"/>
          <w:sz w:val="24"/>
          <w:szCs w:val="24"/>
          <w:lang w:val="en-US"/>
        </w:rPr>
        <w:t xml:space="preserve"> III.</w:t>
      </w:r>
    </w:p>
    <w:p w14:paraId="6CB261D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Finnis, J, </w:t>
      </w:r>
      <w:r>
        <w:rPr>
          <w:rFonts w:ascii="Times New Roman" w:hAnsi="Times New Roman" w:cs="Times New Roman"/>
          <w:i/>
          <w:iCs/>
          <w:sz w:val="24"/>
          <w:szCs w:val="24"/>
          <w:lang w:val="en-US"/>
        </w:rPr>
        <w:t>Natural Law and Natural Rights</w:t>
      </w:r>
      <w:r>
        <w:rPr>
          <w:rFonts w:ascii="Times New Roman" w:hAnsi="Times New Roman" w:cs="Times New Roman"/>
          <w:sz w:val="24"/>
          <w:szCs w:val="24"/>
          <w:lang w:val="en-US"/>
        </w:rPr>
        <w:t xml:space="preserve"> (2nd edn, OUP 2011).</w:t>
      </w:r>
    </w:p>
    <w:p w14:paraId="58487FD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Hart, H L A, </w:t>
      </w:r>
      <w:r>
        <w:rPr>
          <w:rFonts w:ascii="Times New Roman" w:hAnsi="Times New Roman" w:cs="Times New Roman"/>
          <w:i/>
          <w:iCs/>
          <w:sz w:val="24"/>
          <w:szCs w:val="24"/>
          <w:lang w:val="en-US"/>
        </w:rPr>
        <w:t>The Concept of Law</w:t>
      </w:r>
      <w:r>
        <w:rPr>
          <w:rFonts w:ascii="Times New Roman" w:hAnsi="Times New Roman" w:cs="Times New Roman"/>
          <w:sz w:val="24"/>
          <w:szCs w:val="24"/>
          <w:lang w:val="en-US"/>
        </w:rPr>
        <w:t xml:space="preserve"> (2nd edn, Clarendon Press 1994).</w:t>
      </w:r>
    </w:p>
    <w:p w14:paraId="6EFBDB9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Mill, J S, </w:t>
      </w:r>
      <w:r>
        <w:rPr>
          <w:rFonts w:ascii="Times New Roman" w:hAnsi="Times New Roman" w:cs="Times New Roman"/>
          <w:i/>
          <w:iCs/>
          <w:sz w:val="24"/>
          <w:szCs w:val="24"/>
          <w:lang w:val="en-US"/>
        </w:rPr>
        <w:t>Utilitarianism</w:t>
      </w:r>
      <w:r>
        <w:rPr>
          <w:rFonts w:ascii="Times New Roman" w:hAnsi="Times New Roman" w:cs="Times New Roman"/>
          <w:sz w:val="24"/>
          <w:szCs w:val="24"/>
          <w:lang w:val="en-US"/>
        </w:rPr>
        <w:t xml:space="preserve"> (Crisp, R ed, OUP 1998).</w:t>
      </w:r>
    </w:p>
    <w:p w14:paraId="29132FC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Olokooba, S M, </w:t>
      </w:r>
      <w:r>
        <w:rPr>
          <w:rFonts w:ascii="Times New Roman" w:hAnsi="Times New Roman" w:cs="Times New Roman"/>
          <w:i/>
          <w:iCs/>
          <w:sz w:val="24"/>
          <w:szCs w:val="24"/>
          <w:lang w:val="en-US"/>
        </w:rPr>
        <w:t>Nigerian Taxation: Law, Practice and Procedures Simplified</w:t>
      </w:r>
      <w:r>
        <w:rPr>
          <w:rFonts w:ascii="Times New Roman" w:hAnsi="Times New Roman" w:cs="Times New Roman"/>
          <w:sz w:val="24"/>
          <w:szCs w:val="24"/>
          <w:lang w:val="en-US"/>
        </w:rPr>
        <w:t xml:space="preserve"> (Springer 2019).</w:t>
      </w:r>
    </w:p>
    <w:p w14:paraId="0414B832">
      <w:pPr>
        <w:spacing w:line="360" w:lineRule="auto"/>
        <w:rPr>
          <w:rFonts w:ascii="Times New Roman" w:hAnsi="Times New Roman" w:cs="Times New Roman"/>
          <w:sz w:val="24"/>
          <w:szCs w:val="24"/>
          <w:lang w:val="en-US"/>
        </w:rPr>
      </w:pPr>
    </w:p>
    <w:p w14:paraId="7D4386B9">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Journals</w:t>
      </w:r>
    </w:p>
    <w:p w14:paraId="770FE04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Abbo, U, ‘Nigeria’s New Tax Reform and Fiscal Sustainability’ [2025] (1) (1) </w:t>
      </w:r>
      <w:r>
        <w:rPr>
          <w:rFonts w:ascii="Times New Roman" w:hAnsi="Times New Roman" w:cs="Times New Roman"/>
          <w:i/>
          <w:iCs/>
          <w:sz w:val="24"/>
          <w:szCs w:val="24"/>
          <w:lang w:val="en-US"/>
        </w:rPr>
        <w:t>AUN Journal of Social Sciences</w:t>
      </w:r>
      <w:r>
        <w:rPr>
          <w:rFonts w:ascii="Times New Roman" w:hAnsi="Times New Roman" w:cs="Times New Roman"/>
          <w:sz w:val="24"/>
          <w:szCs w:val="24"/>
          <w:lang w:val="en-US"/>
        </w:rPr>
        <w:t xml:space="preserve"> 1-26 </w:t>
      </w:r>
      <w:r>
        <w:fldChar w:fldCharType="begin"/>
      </w:r>
      <w:r>
        <w:instrText xml:space="preserve"> HYPERLINK "https://journals.aun.edu.ng/index.php/aunjss/article/view/177" </w:instrText>
      </w:r>
      <w:r>
        <w:fldChar w:fldCharType="separate"/>
      </w:r>
      <w:r>
        <w:rPr>
          <w:rStyle w:val="17"/>
          <w:rFonts w:ascii="Times New Roman" w:hAnsi="Times New Roman" w:cs="Times New Roman"/>
          <w:sz w:val="24"/>
          <w:szCs w:val="24"/>
          <w:lang w:val="en-US"/>
        </w:rPr>
        <w:t>https://journals.aun.edu.ng/index.php/aunjss/article/view/177</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3336F46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Awodun, M, Somorin, O and Sanni, A, ‘Optimising Tax Admin through Digital Transformation’ [2024] (16) (4) </w:t>
      </w:r>
      <w:r>
        <w:rPr>
          <w:rFonts w:ascii="Times New Roman" w:hAnsi="Times New Roman" w:cs="Times New Roman"/>
          <w:i/>
          <w:iCs/>
          <w:sz w:val="24"/>
          <w:szCs w:val="24"/>
          <w:lang w:val="en-US"/>
        </w:rPr>
        <w:t>Journal of Accounting and Taxation</w:t>
      </w:r>
      <w:r>
        <w:rPr>
          <w:rFonts w:ascii="Times New Roman" w:hAnsi="Times New Roman" w:cs="Times New Roman"/>
          <w:sz w:val="24"/>
          <w:szCs w:val="24"/>
          <w:lang w:val="en-US"/>
        </w:rPr>
        <w:t xml:space="preserve"> 217-225 </w:t>
      </w:r>
      <w:r>
        <w:fldChar w:fldCharType="begin"/>
      </w:r>
      <w:r>
        <w:instrText xml:space="preserve"> HYPERLINK "https://doi.org/10.5897/JAT2024.0625" </w:instrText>
      </w:r>
      <w:r>
        <w:fldChar w:fldCharType="separate"/>
      </w:r>
      <w:r>
        <w:rPr>
          <w:rStyle w:val="17"/>
          <w:rFonts w:ascii="Times New Roman" w:hAnsi="Times New Roman" w:cs="Times New Roman"/>
          <w:sz w:val="24"/>
          <w:szCs w:val="24"/>
          <w:lang w:val="en-US"/>
        </w:rPr>
        <w:t>https://doi.org/10.5897/JAT2024.0625</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2B4F09E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Azubuike, R N, Anorue, H C, Adeleye, O D and Ekanem, E A, ‘Tax Admin in Nigeria: A SLR’ [2024] (8) (9) </w:t>
      </w:r>
      <w:r>
        <w:rPr>
          <w:rFonts w:ascii="Times New Roman" w:hAnsi="Times New Roman" w:cs="Times New Roman"/>
          <w:i/>
          <w:iCs/>
          <w:sz w:val="24"/>
          <w:szCs w:val="24"/>
          <w:lang w:val="en-US"/>
        </w:rPr>
        <w:t>International Journal of Economics, Business and Management Research</w:t>
      </w:r>
      <w:r>
        <w:rPr>
          <w:rFonts w:ascii="Times New Roman" w:hAnsi="Times New Roman" w:cs="Times New Roman"/>
          <w:sz w:val="24"/>
          <w:szCs w:val="24"/>
          <w:lang w:val="en-US"/>
        </w:rPr>
        <w:t xml:space="preserve"> 303-313 </w:t>
      </w:r>
      <w:r>
        <w:fldChar w:fldCharType="begin"/>
      </w:r>
      <w:r>
        <w:instrText xml:space="preserve"> HYPERLINK "https://doi.org/10.51505/IJEBMR.2024.8918" </w:instrText>
      </w:r>
      <w:r>
        <w:fldChar w:fldCharType="separate"/>
      </w:r>
      <w:r>
        <w:rPr>
          <w:rStyle w:val="17"/>
          <w:rFonts w:ascii="Times New Roman" w:hAnsi="Times New Roman" w:cs="Times New Roman"/>
          <w:sz w:val="24"/>
          <w:szCs w:val="24"/>
          <w:lang w:val="en-US"/>
        </w:rPr>
        <w:t>https://doi.org/10.51505/IJEBMR.2024.8918</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8676F9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Ehichioya, O G and Attah, D, ‘Multiple Taxation and Selected SMEs’ [2024] (17) (1) </w:t>
      </w:r>
      <w:r>
        <w:rPr>
          <w:rFonts w:ascii="Times New Roman" w:hAnsi="Times New Roman" w:cs="Times New Roman"/>
          <w:i/>
          <w:iCs/>
          <w:sz w:val="24"/>
          <w:szCs w:val="24"/>
          <w:lang w:val="en-US"/>
        </w:rPr>
        <w:t>African Journal of Management and Business Research</w:t>
      </w:r>
      <w:r>
        <w:rPr>
          <w:rFonts w:ascii="Times New Roman" w:hAnsi="Times New Roman" w:cs="Times New Roman"/>
          <w:sz w:val="24"/>
          <w:szCs w:val="24"/>
          <w:lang w:val="en-US"/>
        </w:rPr>
        <w:t xml:space="preserve"> 206-217 </w:t>
      </w:r>
      <w:r>
        <w:fldChar w:fldCharType="begin"/>
      </w:r>
      <w:r>
        <w:instrText xml:space="preserve"> HYPERLINK "https://doi.org/10.62154/ajmbr.2024.017.010500" </w:instrText>
      </w:r>
      <w:r>
        <w:fldChar w:fldCharType="separate"/>
      </w:r>
      <w:r>
        <w:rPr>
          <w:rStyle w:val="17"/>
          <w:rFonts w:ascii="Times New Roman" w:hAnsi="Times New Roman" w:cs="Times New Roman"/>
          <w:sz w:val="24"/>
          <w:szCs w:val="24"/>
          <w:lang w:val="en-US"/>
        </w:rPr>
        <w:t>https://doi.org/10.62154/ajmbr.2024.017.010500</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6F3C28F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Ewim, C, Komolafe, M, Ejike, O, Agu, E and Okeke, I, ‘Regulatory Model for Harmonising Tax Collection’ [2024] (6) (9) </w:t>
      </w:r>
      <w:r>
        <w:rPr>
          <w:rFonts w:ascii="Times New Roman" w:hAnsi="Times New Roman" w:cs="Times New Roman"/>
          <w:i/>
          <w:iCs/>
          <w:sz w:val="24"/>
          <w:szCs w:val="24"/>
          <w:lang w:val="en-US"/>
        </w:rPr>
        <w:t>International Journal of Advanced Economics</w:t>
      </w:r>
      <w:r>
        <w:rPr>
          <w:rFonts w:ascii="Times New Roman" w:hAnsi="Times New Roman" w:cs="Times New Roman"/>
          <w:sz w:val="24"/>
          <w:szCs w:val="24"/>
          <w:lang w:val="en-US"/>
        </w:rPr>
        <w:t xml:space="preserve"> 457-470 </w:t>
      </w:r>
      <w:r>
        <w:fldChar w:fldCharType="begin"/>
      </w:r>
      <w:r>
        <w:instrText xml:space="preserve"> HYPERLINK "https://www.researchgate.net/publication/384336204_A_regulatory_model_for_harmonizing_tax_collection_across_Nigerian_states_The_role_of_the_joint_tax_board" </w:instrText>
      </w:r>
      <w:r>
        <w:fldChar w:fldCharType="separate"/>
      </w:r>
      <w:r>
        <w:rPr>
          <w:rStyle w:val="17"/>
          <w:rFonts w:ascii="Times New Roman" w:hAnsi="Times New Roman" w:cs="Times New Roman"/>
          <w:sz w:val="24"/>
          <w:szCs w:val="24"/>
          <w:lang w:val="en-US"/>
        </w:rPr>
        <w:t>https://www.researchgate.net/publication/384336204_A_regulatory_model_for_harmonizing_tax_collection_across_Nigerian_states_The_role_of_the_joint_tax_board</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3C2FF6A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Godwin, O and Lilly-Inia, T F, ‘Tax Reform Bills and Public Service’ [2025] (8) (5) </w:t>
      </w:r>
      <w:r>
        <w:rPr>
          <w:rFonts w:ascii="Times New Roman" w:hAnsi="Times New Roman" w:cs="Times New Roman"/>
          <w:i/>
          <w:iCs/>
          <w:sz w:val="24"/>
          <w:szCs w:val="24"/>
          <w:lang w:val="en-US"/>
        </w:rPr>
        <w:t>American Journal of Economics and Business Management</w:t>
      </w:r>
      <w:r>
        <w:rPr>
          <w:rFonts w:ascii="Times New Roman" w:hAnsi="Times New Roman" w:cs="Times New Roman"/>
          <w:sz w:val="24"/>
          <w:szCs w:val="24"/>
          <w:lang w:val="en-US"/>
        </w:rPr>
        <w:t xml:space="preserve"> 1864-1873 </w:t>
      </w:r>
      <w:r>
        <w:fldChar w:fldCharType="begin"/>
      </w:r>
      <w:r>
        <w:instrText xml:space="preserve"> HYPERLINK "https://doi.org/10.31150/ajebm.v8i5.3514" </w:instrText>
      </w:r>
      <w:r>
        <w:fldChar w:fldCharType="separate"/>
      </w:r>
      <w:r>
        <w:rPr>
          <w:rStyle w:val="17"/>
          <w:rFonts w:ascii="Times New Roman" w:hAnsi="Times New Roman" w:cs="Times New Roman"/>
          <w:sz w:val="24"/>
          <w:szCs w:val="24"/>
          <w:lang w:val="en-US"/>
        </w:rPr>
        <w:t>https://doi.org/10.31150/ajebm.v8i5.3514</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306977F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Hart, H L A, ‘Positivism and the Separation of Law and Morals’ [1958] (71) (4) </w:t>
      </w:r>
      <w:r>
        <w:rPr>
          <w:rFonts w:ascii="Times New Roman" w:hAnsi="Times New Roman" w:cs="Times New Roman"/>
          <w:i/>
          <w:iCs/>
          <w:sz w:val="24"/>
          <w:szCs w:val="24"/>
          <w:lang w:val="en-US"/>
        </w:rPr>
        <w:t>Harvard Law Review</w:t>
      </w:r>
      <w:r>
        <w:rPr>
          <w:rFonts w:ascii="Times New Roman" w:hAnsi="Times New Roman" w:cs="Times New Roman"/>
          <w:sz w:val="24"/>
          <w:szCs w:val="24"/>
          <w:lang w:val="en-US"/>
        </w:rPr>
        <w:t xml:space="preserve"> 593.</w:t>
      </w:r>
    </w:p>
    <w:p w14:paraId="74F8F14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Ishiguzo, R O, ‘Tax Reform Bills 2024’ [2024] (5) (1) </w:t>
      </w:r>
      <w:r>
        <w:rPr>
          <w:rFonts w:ascii="Times New Roman" w:hAnsi="Times New Roman" w:cs="Times New Roman"/>
          <w:i/>
          <w:iCs/>
          <w:sz w:val="24"/>
          <w:szCs w:val="24"/>
          <w:lang w:val="en-US"/>
        </w:rPr>
        <w:t>Law and Social Justice Review</w:t>
      </w:r>
      <w:r>
        <w:rPr>
          <w:rFonts w:ascii="Times New Roman" w:hAnsi="Times New Roman" w:cs="Times New Roman"/>
          <w:sz w:val="24"/>
          <w:szCs w:val="24"/>
          <w:lang w:val="en-US"/>
        </w:rPr>
        <w:t xml:space="preserve"> 122-131 </w:t>
      </w:r>
      <w:r>
        <w:fldChar w:fldCharType="begin"/>
      </w:r>
      <w:r>
        <w:instrText xml:space="preserve"> HYPERLINK "https://nigerianjournalsonline.org/index.php/LASJURE/article/view/5982" </w:instrText>
      </w:r>
      <w:r>
        <w:fldChar w:fldCharType="separate"/>
      </w:r>
      <w:r>
        <w:rPr>
          <w:rStyle w:val="17"/>
          <w:rFonts w:ascii="Times New Roman" w:hAnsi="Times New Roman" w:cs="Times New Roman"/>
          <w:sz w:val="24"/>
          <w:szCs w:val="24"/>
          <w:lang w:val="en-US"/>
        </w:rPr>
        <w:t>https://nigerianjournalsonline.org/index.php/LASJURE/article/view/5982</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9E06DD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Kareem, J and Olaoye, C O, ‘Tax Digitalisation and Revenue Performance’ [2025] (11) (2) </w:t>
      </w:r>
      <w:r>
        <w:rPr>
          <w:rFonts w:ascii="Times New Roman" w:hAnsi="Times New Roman" w:cs="Times New Roman"/>
          <w:i/>
          <w:iCs/>
          <w:sz w:val="24"/>
          <w:szCs w:val="24"/>
          <w:lang w:val="en-US"/>
        </w:rPr>
        <w:t>Nigerian Journal of Banking and Financial Issues</w:t>
      </w:r>
      <w:r>
        <w:rPr>
          <w:rFonts w:ascii="Times New Roman" w:hAnsi="Times New Roman" w:cs="Times New Roman"/>
          <w:sz w:val="24"/>
          <w:szCs w:val="24"/>
          <w:lang w:val="en-US"/>
        </w:rPr>
        <w:t xml:space="preserve"> 313-325 </w:t>
      </w:r>
      <w:r>
        <w:fldChar w:fldCharType="begin"/>
      </w:r>
      <w:r>
        <w:instrText xml:space="preserve"> HYPERLINK "https://eksujournal.eksu.edu.ng/ojs/index.php/njbfi/article/download/114/383" </w:instrText>
      </w:r>
      <w:r>
        <w:fldChar w:fldCharType="separate"/>
      </w:r>
      <w:r>
        <w:rPr>
          <w:rStyle w:val="17"/>
          <w:rFonts w:ascii="Times New Roman" w:hAnsi="Times New Roman" w:cs="Times New Roman"/>
          <w:sz w:val="24"/>
          <w:szCs w:val="24"/>
          <w:lang w:val="en-US"/>
        </w:rPr>
        <w:t>https://eksujournal.eksu.edu.ng/ojs/index.php/njbfi/article/download/114/383</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28C6FF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Offor, E R, ‘Nigeria’s Tax Reform Acts 2025’ [2025] </w:t>
      </w:r>
      <w:r>
        <w:rPr>
          <w:rFonts w:ascii="Times New Roman" w:hAnsi="Times New Roman" w:cs="Times New Roman"/>
          <w:i/>
          <w:iCs/>
          <w:sz w:val="24"/>
          <w:szCs w:val="24"/>
          <w:lang w:val="en-US"/>
        </w:rPr>
        <w:t>SSRN Electronic Journal</w:t>
      </w:r>
      <w:r>
        <w:rPr>
          <w:rFonts w:ascii="Times New Roman" w:hAnsi="Times New Roman" w:cs="Times New Roman"/>
          <w:sz w:val="24"/>
          <w:szCs w:val="24"/>
          <w:lang w:val="en-US"/>
        </w:rPr>
        <w:t xml:space="preserve"> </w:t>
      </w:r>
      <w:r>
        <w:fldChar w:fldCharType="begin"/>
      </w:r>
      <w:r>
        <w:instrText xml:space="preserve"> HYPERLINK "https://papers.ssrn.com/sol3/papers.cfm?abstract_id=5438856" </w:instrText>
      </w:r>
      <w:r>
        <w:fldChar w:fldCharType="separate"/>
      </w:r>
      <w:r>
        <w:rPr>
          <w:rStyle w:val="17"/>
          <w:rFonts w:ascii="Times New Roman" w:hAnsi="Times New Roman" w:cs="Times New Roman"/>
          <w:sz w:val="24"/>
          <w:szCs w:val="24"/>
          <w:lang w:val="en-US"/>
        </w:rPr>
        <w:t>https://papers.ssrn.com/sol3/papers.cfm?abstract_id=5438856</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5FE6E0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Oloyede, A M, Otusanya, O J and David, A-P, ‘Taxation and SME Performance in Nigeria’ [2024] (10) (1) </w:t>
      </w:r>
      <w:r>
        <w:rPr>
          <w:rFonts w:ascii="Times New Roman" w:hAnsi="Times New Roman" w:cs="Times New Roman"/>
          <w:i/>
          <w:iCs/>
          <w:sz w:val="24"/>
          <w:szCs w:val="24"/>
          <w:lang w:val="en-US"/>
        </w:rPr>
        <w:t>Global Journal of Accounting</w:t>
      </w:r>
      <w:r>
        <w:rPr>
          <w:rFonts w:ascii="Times New Roman" w:hAnsi="Times New Roman" w:cs="Times New Roman"/>
          <w:sz w:val="24"/>
          <w:szCs w:val="24"/>
          <w:lang w:val="en-US"/>
        </w:rPr>
        <w:t xml:space="preserve"> 40-61 </w:t>
      </w:r>
      <w:r>
        <w:fldChar w:fldCharType="begin"/>
      </w:r>
      <w:r>
        <w:instrText xml:space="preserve"> HYPERLINK "https://gja.unilag.edu.ng/article/view/2273" </w:instrText>
      </w:r>
      <w:r>
        <w:fldChar w:fldCharType="separate"/>
      </w:r>
      <w:r>
        <w:rPr>
          <w:rStyle w:val="17"/>
          <w:rFonts w:ascii="Times New Roman" w:hAnsi="Times New Roman" w:cs="Times New Roman"/>
          <w:sz w:val="24"/>
          <w:szCs w:val="24"/>
          <w:lang w:val="en-US"/>
        </w:rPr>
        <w:t>https://gja.unilag.edu.ng/article/view/2273</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5F1FF56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Schauer, F, ‘Legal Realism Untamed’ [2013] (91) </w:t>
      </w:r>
      <w:r>
        <w:rPr>
          <w:rFonts w:ascii="Times New Roman" w:hAnsi="Times New Roman" w:cs="Times New Roman"/>
          <w:i/>
          <w:iCs/>
          <w:sz w:val="24"/>
          <w:szCs w:val="24"/>
          <w:lang w:val="en-US"/>
        </w:rPr>
        <w:t>Texas Law Review</w:t>
      </w:r>
      <w:r>
        <w:rPr>
          <w:rFonts w:ascii="Times New Roman" w:hAnsi="Times New Roman" w:cs="Times New Roman"/>
          <w:sz w:val="24"/>
          <w:szCs w:val="24"/>
          <w:lang w:val="en-US"/>
        </w:rPr>
        <w:t xml:space="preserve"> 749-780.</w:t>
      </w:r>
    </w:p>
    <w:p w14:paraId="37D86D8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Tandu, A, ‘E-Invoicing and Real-Time Reporting’ [2025] </w:t>
      </w:r>
      <w:r>
        <w:rPr>
          <w:rFonts w:ascii="Times New Roman" w:hAnsi="Times New Roman" w:cs="Times New Roman"/>
          <w:i/>
          <w:iCs/>
          <w:sz w:val="24"/>
          <w:szCs w:val="24"/>
          <w:lang w:val="en-US"/>
        </w:rPr>
        <w:t>SSRN Electronic Journal</w:t>
      </w:r>
      <w:r>
        <w:rPr>
          <w:rFonts w:ascii="Times New Roman" w:hAnsi="Times New Roman" w:cs="Times New Roman"/>
          <w:sz w:val="24"/>
          <w:szCs w:val="24"/>
          <w:lang w:val="en-US"/>
        </w:rPr>
        <w:t xml:space="preserve"> </w:t>
      </w:r>
      <w:r>
        <w:fldChar w:fldCharType="begin"/>
      </w:r>
      <w:r>
        <w:instrText xml:space="preserve"> HYPERLINK "https://papers.ssrn.com/sol3/papers.cfm?abstract_id=5603411" </w:instrText>
      </w:r>
      <w:r>
        <w:fldChar w:fldCharType="separate"/>
      </w:r>
      <w:r>
        <w:rPr>
          <w:rStyle w:val="17"/>
          <w:rFonts w:ascii="Times New Roman" w:hAnsi="Times New Roman" w:cs="Times New Roman"/>
          <w:sz w:val="24"/>
          <w:szCs w:val="24"/>
          <w:lang w:val="en-US"/>
        </w:rPr>
        <w:t>https://papers.ssrn.com/sol3/papers.cfm?abstract_id=5603411</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2CE5E2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Umenweke, M N, ‘Critical Assessment of Nigeria’s JRB Bill 2024’ [2024] (5) (1) </w:t>
      </w:r>
      <w:r>
        <w:rPr>
          <w:rFonts w:ascii="Times New Roman" w:hAnsi="Times New Roman" w:cs="Times New Roman"/>
          <w:i/>
          <w:iCs/>
          <w:sz w:val="24"/>
          <w:szCs w:val="24"/>
          <w:lang w:val="en-US"/>
        </w:rPr>
        <w:t>Law and Social Justice Review</w:t>
      </w:r>
      <w:r>
        <w:rPr>
          <w:rFonts w:ascii="Times New Roman" w:hAnsi="Times New Roman" w:cs="Times New Roman"/>
          <w:sz w:val="24"/>
          <w:szCs w:val="24"/>
          <w:lang w:val="en-US"/>
        </w:rPr>
        <w:t xml:space="preserve"> 20-27 </w:t>
      </w:r>
      <w:r>
        <w:fldChar w:fldCharType="begin"/>
      </w:r>
      <w:r>
        <w:instrText xml:space="preserve"> HYPERLINK "https://www.nigerianjournalsonline.com/index.php/LASJURE/article/view/5786%20accessed%2020%20June%202026" </w:instrText>
      </w:r>
      <w:r>
        <w:fldChar w:fldCharType="separate"/>
      </w:r>
      <w:r>
        <w:rPr>
          <w:rStyle w:val="17"/>
          <w:rFonts w:ascii="Times New Roman" w:hAnsi="Times New Roman" w:cs="Times New Roman"/>
          <w:sz w:val="24"/>
          <w:szCs w:val="24"/>
          <w:lang w:val="en-US"/>
        </w:rPr>
        <w:t>https://www.nigerianjournalsonline.com/index.php/LASJURE/article/view/5786 accessed 20 June 2026</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28F5934">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Internet Materials</w:t>
      </w:r>
    </w:p>
    <w:p w14:paraId="404CDD3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Achirga, A and Sanni, S, ‘Hard Times in Nigeria as Reforms Deepen Cost of Living Crisis’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(11 March 2024) </w:t>
      </w:r>
      <w:r>
        <w:fldChar w:fldCharType="begin"/>
      </w:r>
      <w:r>
        <w:instrText xml:space="preserve"> HYPERLINK "https://www.reuters.com/world/africa/hard-times-nigeria-reforms-deepen-cost-living-crisis-2024-03-11/" </w:instrText>
      </w:r>
      <w:r>
        <w:fldChar w:fldCharType="separate"/>
      </w:r>
      <w:r>
        <w:rPr>
          <w:rStyle w:val="17"/>
          <w:rFonts w:ascii="Times New Roman" w:hAnsi="Times New Roman" w:cs="Times New Roman"/>
          <w:sz w:val="24"/>
          <w:szCs w:val="24"/>
          <w:lang w:val="en-US"/>
        </w:rPr>
        <w:t>https://www.reuters.com/world/africa/hard-times-nigeria-reforms-deepen-cost-living-crisis-2024-03-11/</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64583B3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Adekunle, I and Sulaiman, S, </w:t>
      </w:r>
      <w:r>
        <w:rPr>
          <w:rFonts w:ascii="Times New Roman" w:hAnsi="Times New Roman" w:cs="Times New Roman"/>
          <w:i/>
          <w:iCs/>
          <w:sz w:val="24"/>
          <w:szCs w:val="24"/>
          <w:lang w:val="en-US"/>
        </w:rPr>
        <w:t>Templars Transcripts: Tax Digest</w:t>
      </w:r>
      <w:r>
        <w:rPr>
          <w:rFonts w:ascii="Times New Roman" w:hAnsi="Times New Roman" w:cs="Times New Roman"/>
          <w:sz w:val="24"/>
          <w:szCs w:val="24"/>
          <w:lang w:val="en-US"/>
        </w:rPr>
        <w:t xml:space="preserve"> (Templars 2026) </w:t>
      </w:r>
      <w:r>
        <w:fldChar w:fldCharType="begin"/>
      </w:r>
      <w:r>
        <w:instrText xml:space="preserve"> HYPERLINK "https://www.templars-law.com/app/uploads/2026/02/Tax-Digest-February-2026.pdf" </w:instrText>
      </w:r>
      <w:r>
        <w:fldChar w:fldCharType="separate"/>
      </w:r>
      <w:r>
        <w:rPr>
          <w:rStyle w:val="17"/>
          <w:rFonts w:ascii="Times New Roman" w:hAnsi="Times New Roman" w:cs="Times New Roman"/>
          <w:sz w:val="24"/>
          <w:szCs w:val="24"/>
          <w:lang w:val="en-US"/>
        </w:rPr>
        <w:t>https://www.templars-law.com/app/uploads/2026/02/Tax-Digest-February-2026.pdf</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2B434D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Adeoye, K and Oyelami, M, ‘Nigeria’s 2025 Tax Reform Acts Explained’ </w:t>
      </w:r>
      <w:r>
        <w:rPr>
          <w:rFonts w:ascii="Times New Roman" w:hAnsi="Times New Roman" w:cs="Times New Roman"/>
          <w:i/>
          <w:iCs/>
          <w:sz w:val="24"/>
          <w:szCs w:val="24"/>
          <w:lang w:val="en-US"/>
        </w:rPr>
        <w:t>Baker Tilly Nigeria</w:t>
      </w:r>
      <w:r>
        <w:rPr>
          <w:rFonts w:ascii="Times New Roman" w:hAnsi="Times New Roman" w:cs="Times New Roman"/>
          <w:sz w:val="24"/>
          <w:szCs w:val="24"/>
          <w:lang w:val="en-US"/>
        </w:rPr>
        <w:t xml:space="preserve"> </w:t>
      </w:r>
      <w:r>
        <w:fldChar w:fldCharType="begin"/>
      </w:r>
      <w:r>
        <w:instrText xml:space="preserve"> HYPERLINK "https://www.bakertilly.ng/insights/nigerias-2025-tax-reform-acts-explained" </w:instrText>
      </w:r>
      <w:r>
        <w:fldChar w:fldCharType="separate"/>
      </w:r>
      <w:r>
        <w:rPr>
          <w:rStyle w:val="17"/>
          <w:rFonts w:ascii="Times New Roman" w:hAnsi="Times New Roman" w:cs="Times New Roman"/>
          <w:sz w:val="24"/>
          <w:szCs w:val="24"/>
          <w:lang w:val="en-US"/>
        </w:rPr>
        <w:t>https://www.bakertilly.ng/insights/nigerias-2025-tax-reform-acts-explained</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A4F942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Aduloju, B, ‘Items Exempted from VAT in New Tax Law’ </w:t>
      </w:r>
      <w:r>
        <w:rPr>
          <w:rFonts w:ascii="Times New Roman" w:hAnsi="Times New Roman" w:cs="Times New Roman"/>
          <w:i/>
          <w:iCs/>
          <w:sz w:val="24"/>
          <w:szCs w:val="24"/>
          <w:lang w:val="en-US"/>
        </w:rPr>
        <w:t>TheCable</w:t>
      </w:r>
      <w:r>
        <w:rPr>
          <w:rFonts w:ascii="Times New Roman" w:hAnsi="Times New Roman" w:cs="Times New Roman"/>
          <w:sz w:val="24"/>
          <w:szCs w:val="24"/>
          <w:lang w:val="en-US"/>
        </w:rPr>
        <w:t xml:space="preserve"> (12 March 2026) </w:t>
      </w:r>
      <w:r>
        <w:fldChar w:fldCharType="begin"/>
      </w:r>
      <w:r>
        <w:instrText xml:space="preserve"> HYPERLINK "https://www.thecable.ng/full-list-sanitary-pads-products-energy-exports-land-items-exempted-from-vat-in-new-tax-law/" </w:instrText>
      </w:r>
      <w:r>
        <w:fldChar w:fldCharType="separate"/>
      </w:r>
      <w:r>
        <w:rPr>
          <w:rStyle w:val="17"/>
          <w:rFonts w:ascii="Times New Roman" w:hAnsi="Times New Roman" w:cs="Times New Roman"/>
          <w:sz w:val="24"/>
          <w:szCs w:val="24"/>
          <w:lang w:val="en-US"/>
        </w:rPr>
        <w:t>https://www.thecable.ng/full-list-sanitary-pads-products-energy-exports-land-items-exempted-from-vat-in-new-tax-law/</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49FEBC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Agbo, E, ‘Court Refuses to Stop Implementation of New Tax Laws’ </w:t>
      </w:r>
      <w:r>
        <w:rPr>
          <w:rFonts w:ascii="Times New Roman" w:hAnsi="Times New Roman" w:cs="Times New Roman"/>
          <w:i/>
          <w:iCs/>
          <w:sz w:val="24"/>
          <w:szCs w:val="24"/>
          <w:lang w:val="en-US"/>
        </w:rPr>
        <w:t>Premium Times</w:t>
      </w:r>
      <w:r>
        <w:rPr>
          <w:rFonts w:ascii="Times New Roman" w:hAnsi="Times New Roman" w:cs="Times New Roman"/>
          <w:sz w:val="24"/>
          <w:szCs w:val="24"/>
          <w:lang w:val="en-US"/>
        </w:rPr>
        <w:t xml:space="preserve"> </w:t>
      </w:r>
      <w:r>
        <w:fldChar w:fldCharType="begin"/>
      </w:r>
      <w:r>
        <w:instrText xml:space="preserve"> HYPERLINK "https://www.premiumtimesng.com/news/top-news/846967-court-refuses-to-stop-implementation-of-new-tax-laws.html" </w:instrText>
      </w:r>
      <w:r>
        <w:fldChar w:fldCharType="separate"/>
      </w:r>
      <w:r>
        <w:rPr>
          <w:rStyle w:val="17"/>
          <w:rFonts w:ascii="Times New Roman" w:hAnsi="Times New Roman" w:cs="Times New Roman"/>
          <w:sz w:val="24"/>
          <w:szCs w:val="24"/>
          <w:lang w:val="en-US"/>
        </w:rPr>
        <w:t>https://www.premiumtimesng.com/news/top-news/846967-court-refuses-to-stop-implementation-of-new-tax-laws.html</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676C774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Ajayi, A, ‘National E-Invoicing Regime for Large Taxpayers’ </w:t>
      </w:r>
      <w:r>
        <w:rPr>
          <w:rFonts w:ascii="Times New Roman" w:hAnsi="Times New Roman" w:cs="Times New Roman"/>
          <w:i/>
          <w:iCs/>
          <w:sz w:val="24"/>
          <w:szCs w:val="24"/>
          <w:lang w:val="en-US"/>
        </w:rPr>
        <w:t>KPMG</w:t>
      </w:r>
      <w:r>
        <w:rPr>
          <w:rFonts w:ascii="Times New Roman" w:hAnsi="Times New Roman" w:cs="Times New Roman"/>
          <w:sz w:val="24"/>
          <w:szCs w:val="24"/>
          <w:lang w:val="en-US"/>
        </w:rPr>
        <w:t xml:space="preserve"> (July 2025) </w:t>
      </w:r>
      <w:r>
        <w:fldChar w:fldCharType="begin"/>
      </w:r>
      <w:r>
        <w:instrText xml:space="preserve"> HYPERLINK "https://assets.kpmg.com/content/dam/kpmg/ng/pdf/2025/07/Introduction%20of%20National%20E-Invoicing%20Regime%20for%20Large%20Taxpayers.pdf" </w:instrText>
      </w:r>
      <w:r>
        <w:fldChar w:fldCharType="separate"/>
      </w:r>
      <w:r>
        <w:rPr>
          <w:rStyle w:val="17"/>
          <w:rFonts w:ascii="Times New Roman" w:hAnsi="Times New Roman" w:cs="Times New Roman"/>
          <w:sz w:val="24"/>
          <w:szCs w:val="24"/>
          <w:lang w:val="en-US"/>
        </w:rPr>
        <w:t>https://assets.kpmg.com/content/dam/kpmg/ng/pdf/2025/07/Introduction%20of%20National%20E-Invoicing%20Regime%20for%20Large%20Taxpayers.pdf</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6B353D2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Alake, D, ‘Tinubu Sets up Tax Reforms C’ttee’ </w:t>
      </w:r>
      <w:r>
        <w:rPr>
          <w:rFonts w:ascii="Times New Roman" w:hAnsi="Times New Roman" w:cs="Times New Roman"/>
          <w:i/>
          <w:iCs/>
          <w:sz w:val="24"/>
          <w:szCs w:val="24"/>
          <w:lang w:val="en-US"/>
        </w:rPr>
        <w:t>State House Press Release</w:t>
      </w:r>
      <w:r>
        <w:rPr>
          <w:rFonts w:ascii="Times New Roman" w:hAnsi="Times New Roman" w:cs="Times New Roman"/>
          <w:sz w:val="24"/>
          <w:szCs w:val="24"/>
          <w:lang w:val="en-US"/>
        </w:rPr>
        <w:t xml:space="preserve"> (7 July 2023) </w:t>
      </w:r>
      <w:r>
        <w:fldChar w:fldCharType="begin"/>
      </w:r>
      <w:r>
        <w:instrText xml:space="preserve"> HYPERLINK "https://statehouse.gov.ng/president-tinubu-sets-up-committee-on-tax-reforms/" </w:instrText>
      </w:r>
      <w:r>
        <w:fldChar w:fldCharType="separate"/>
      </w:r>
      <w:r>
        <w:rPr>
          <w:rStyle w:val="17"/>
          <w:rFonts w:ascii="Times New Roman" w:hAnsi="Times New Roman" w:cs="Times New Roman"/>
          <w:sz w:val="24"/>
          <w:szCs w:val="24"/>
          <w:lang w:val="en-US"/>
        </w:rPr>
        <w:t>https://statehouse.gov.ng/president-tinubu-sets-up-committee-on-tax-reforms/</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2B9D9CE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Anyaogu, I, ‘Nigeria Cuts Electricity Subsidies by 35% after Tariff Hike’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(17 April 2025) </w:t>
      </w:r>
      <w:r>
        <w:fldChar w:fldCharType="begin"/>
      </w:r>
      <w:r>
        <w:instrText xml:space="preserve"> HYPERLINK "https://www.reuters.com/world/africa/nigeria-cuts-electricity-subsidies-by-35-after-tariff-hike-2025-04-17/" </w:instrText>
      </w:r>
      <w:r>
        <w:fldChar w:fldCharType="separate"/>
      </w:r>
      <w:r>
        <w:rPr>
          <w:rStyle w:val="17"/>
          <w:rFonts w:ascii="Times New Roman" w:hAnsi="Times New Roman" w:cs="Times New Roman"/>
          <w:sz w:val="24"/>
          <w:szCs w:val="24"/>
          <w:lang w:val="en-US"/>
        </w:rPr>
        <w:t>https://www.reuters.com/world/africa/nigeria-cuts-electricity-subsidies-by-35-after-tariff-hike-2025-04-17/</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5079C7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Baker Tilly Nigeria, ‘Nigeria’s 2025 Tax Reform Acts Explained’ (23 August 2025) </w:t>
      </w:r>
      <w:r>
        <w:fldChar w:fldCharType="begin"/>
      </w:r>
      <w:r>
        <w:instrText xml:space="preserve"> HYPERLINK "https://www.bakertilly.ng/insights/nigerias-2025-tax-reform-acts-explained" </w:instrText>
      </w:r>
      <w:r>
        <w:fldChar w:fldCharType="separate"/>
      </w:r>
      <w:r>
        <w:rPr>
          <w:rStyle w:val="17"/>
          <w:rFonts w:ascii="Times New Roman" w:hAnsi="Times New Roman" w:cs="Times New Roman"/>
          <w:sz w:val="24"/>
          <w:szCs w:val="24"/>
          <w:lang w:val="en-US"/>
        </w:rPr>
        <w:t>https://www.bakertilly.ng/insights/nigerias-2025-tax-reform-acts-explained</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186479A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Bala-Gbogbo, E, ‘Nigeria Enters Consolidation Phase after Two Years of Reforms’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(15 January 2026) </w:t>
      </w:r>
      <w:r>
        <w:fldChar w:fldCharType="begin"/>
      </w:r>
      <w:r>
        <w:instrText xml:space="preserve"> HYPERLINK "https://www.reuters.com/world/africa/nigeria-enters-consolidation-phase-after-two-years-reforms-says-finance-chief-2026-01-15/" </w:instrText>
      </w:r>
      <w:r>
        <w:fldChar w:fldCharType="separate"/>
      </w:r>
      <w:r>
        <w:rPr>
          <w:rStyle w:val="17"/>
          <w:rFonts w:ascii="Times New Roman" w:hAnsi="Times New Roman" w:cs="Times New Roman"/>
          <w:sz w:val="24"/>
          <w:szCs w:val="24"/>
          <w:lang w:val="en-US"/>
        </w:rPr>
        <w:t>https://www.reuters.com/world/africa/nigeria-enters-consolidation-phase-after-two-years-reforms-says-finance-chief-2026-01-15/</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3C6C4DB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Bala-Gbogbo, E, ‘Nigeria’s Economy Grows Strongly amid High Inflation’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(12 May 2025) </w:t>
      </w:r>
      <w:r>
        <w:fldChar w:fldCharType="begin"/>
      </w:r>
      <w:r>
        <w:instrText xml:space="preserve"> HYPERLINK "https://www.reuters.com/world/africa/nigerias-economy-grows-strongly-amid-high-inflation-world-bank-says-2025-05-12/" </w:instrText>
      </w:r>
      <w:r>
        <w:fldChar w:fldCharType="separate"/>
      </w:r>
      <w:r>
        <w:rPr>
          <w:rStyle w:val="17"/>
          <w:rFonts w:ascii="Times New Roman" w:hAnsi="Times New Roman" w:cs="Times New Roman"/>
          <w:sz w:val="24"/>
          <w:szCs w:val="24"/>
          <w:lang w:val="en-US"/>
        </w:rPr>
        <w:t>https://www.reuters.com/world/africa/nigerias-economy-grows-strongly-amid-high-inflation-world-bank-says-2025-05-12/</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0E0823B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Banwo &amp; Ighodalo, ‘Unconstitutional to Finalise Tax Assessment Where Taxpayer is Denied Right to Object’ </w:t>
      </w:r>
      <w:r>
        <w:fldChar w:fldCharType="begin"/>
      </w:r>
      <w:r>
        <w:instrText xml:space="preserve"> HYPERLINK "https://www.banwo-ighodalo.com/grey-matter/it-is-unconstitutional-to-finalize-a-tax-assessment-where-the-taxpayer-is-denied-the-statutory-right-to-object-tax-appeal-tribunal-holds/" </w:instrText>
      </w:r>
      <w:r>
        <w:fldChar w:fldCharType="separate"/>
      </w:r>
      <w:r>
        <w:rPr>
          <w:rStyle w:val="17"/>
          <w:rFonts w:ascii="Times New Roman" w:hAnsi="Times New Roman" w:cs="Times New Roman"/>
          <w:sz w:val="24"/>
          <w:szCs w:val="24"/>
          <w:lang w:val="en-US"/>
        </w:rPr>
        <w:t>https://www.banwo-ighodalo.com/grey-matter/it-is-unconstitutional-to-finalize-a-tax-assessment-where-the-taxpayer-is-denied-the-statutory-right-to-object-tax-appeal-tribunal-holds/</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640220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CBN, ‘Inflation Rate’ </w:t>
      </w:r>
      <w:r>
        <w:fldChar w:fldCharType="begin"/>
      </w:r>
      <w:r>
        <w:instrText xml:space="preserve"> HYPERLINK "https://www.cbn.gov.ng/rates/inflrates.html" </w:instrText>
      </w:r>
      <w:r>
        <w:fldChar w:fldCharType="separate"/>
      </w:r>
      <w:r>
        <w:rPr>
          <w:rStyle w:val="17"/>
          <w:rFonts w:ascii="Times New Roman" w:hAnsi="Times New Roman" w:cs="Times New Roman"/>
          <w:sz w:val="24"/>
          <w:szCs w:val="24"/>
          <w:lang w:val="en-US"/>
        </w:rPr>
        <w:t>https://www.cbn.gov.ng/rates/inflrates.html</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63E7DE9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Eboh, C, ‘Nigeria to Implement New Tax Laws from January 1’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(30 December 2025) </w:t>
      </w:r>
      <w:r>
        <w:fldChar w:fldCharType="begin"/>
      </w:r>
      <w:r>
        <w:instrText xml:space="preserve"> HYPERLINK "https://www.reuters.com/world/africa/nigeria-implement-new-tax-laws-january-1-despite-calls-delay-tinubu-says-2025-12-30/" </w:instrText>
      </w:r>
      <w:r>
        <w:fldChar w:fldCharType="separate"/>
      </w:r>
      <w:r>
        <w:rPr>
          <w:rStyle w:val="17"/>
          <w:rFonts w:ascii="Times New Roman" w:hAnsi="Times New Roman" w:cs="Times New Roman"/>
          <w:sz w:val="24"/>
          <w:szCs w:val="24"/>
          <w:lang w:val="en-US"/>
        </w:rPr>
        <w:t>https://www.reuters.com/world/africa/nigeria-implement-new-tax-laws-january-1-despite-calls-delay-tinubu-says-2025-12-30/</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7AA1AF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Eboh, C and Bala-Gbogbo, E, ‘Nigeria’s Lower House Passes Tax Reform Bills’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(13 March 2025) </w:t>
      </w:r>
      <w:r>
        <w:fldChar w:fldCharType="begin"/>
      </w:r>
      <w:r>
        <w:instrText xml:space="preserve"> HYPERLINK "https://www.reuters.com/world/africa/nigerias-lower-house-parliament-passes-tax-reform-bills-with-some-tweaks-2025-03-13/" </w:instrText>
      </w:r>
      <w:r>
        <w:fldChar w:fldCharType="separate"/>
      </w:r>
      <w:r>
        <w:rPr>
          <w:rStyle w:val="17"/>
          <w:rFonts w:ascii="Times New Roman" w:hAnsi="Times New Roman" w:cs="Times New Roman"/>
          <w:sz w:val="24"/>
          <w:szCs w:val="24"/>
          <w:lang w:val="en-US"/>
        </w:rPr>
        <w:t>https://www.reuters.com/world/africa/nigerias-lower-house-parliament-passes-tax-reform-bills-with-some-tweaks-2025-03-13/</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992702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George, L and Achirga, A, ‘Nigeria Delays New Tax Law to 2026’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(9 September 2025) </w:t>
      </w:r>
      <w:r>
        <w:fldChar w:fldCharType="begin"/>
      </w:r>
      <w:r>
        <w:instrText xml:space="preserve"> HYPERLINK "https://www.reuters.com/sustainability/boards-policy-regulation/nigeria-delays-new-tax-law-2026-amid-fears-worsening-living-costs-2025-09-09/" </w:instrText>
      </w:r>
      <w:r>
        <w:fldChar w:fldCharType="separate"/>
      </w:r>
      <w:r>
        <w:rPr>
          <w:rStyle w:val="17"/>
          <w:rFonts w:ascii="Times New Roman" w:hAnsi="Times New Roman" w:cs="Times New Roman"/>
          <w:sz w:val="24"/>
          <w:szCs w:val="24"/>
          <w:lang w:val="en-US"/>
        </w:rPr>
        <w:t>https://www.reuters.com/sustainability/boards-policy-regulation/nigeria-delays-new-tax-law-2026-amid-fears-worsening-living-costs-2025-09-09/</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083874E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George, L and Achirga, A, ‘Nigeria’s Advisory Body Proposes Central Tax Agency’ </w:t>
      </w:r>
      <w:r>
        <w:rPr>
          <w:rFonts w:ascii="Times New Roman" w:hAnsi="Times New Roman" w:cs="Times New Roman"/>
          <w:i/>
          <w:iCs/>
          <w:sz w:val="24"/>
          <w:szCs w:val="24"/>
          <w:lang w:val="en-US"/>
        </w:rPr>
        <w:t>Reuters</w:t>
      </w:r>
      <w:r>
        <w:rPr>
          <w:rFonts w:ascii="Times New Roman" w:hAnsi="Times New Roman" w:cs="Times New Roman"/>
          <w:sz w:val="24"/>
          <w:szCs w:val="24"/>
          <w:lang w:val="en-US"/>
        </w:rPr>
        <w:t xml:space="preserve"> (30 May 2024) </w:t>
      </w:r>
      <w:r>
        <w:fldChar w:fldCharType="begin"/>
      </w:r>
      <w:r>
        <w:instrText xml:space="preserve"> HYPERLINK "https://www.reuters.com/markets/nigerias-advisory-body-proposes-creation-central-tax-agency-2024-05-30/" </w:instrText>
      </w:r>
      <w:r>
        <w:fldChar w:fldCharType="separate"/>
      </w:r>
      <w:r>
        <w:rPr>
          <w:rStyle w:val="17"/>
          <w:rFonts w:ascii="Times New Roman" w:hAnsi="Times New Roman" w:cs="Times New Roman"/>
          <w:sz w:val="24"/>
          <w:szCs w:val="24"/>
          <w:lang w:val="en-US"/>
        </w:rPr>
        <w:t>https://www.reuters.com/markets/nigerias-advisory-body-proposes-creation-central-tax-agency-2024-05-30/</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95040C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ICAN, ‘Taxation Study Text’ (2025) </w:t>
      </w:r>
      <w:r>
        <w:fldChar w:fldCharType="begin"/>
      </w:r>
      <w:r>
        <w:instrText xml:space="preserve"> HYPERLINK "https://icanig.org/ican/assets/docs/pro-study-texts-2025/ICAN%202025%20STUDY%20TEXT%20-%20TAXATION%20-%20QC.pdf" </w:instrText>
      </w:r>
      <w:r>
        <w:fldChar w:fldCharType="separate"/>
      </w:r>
      <w:r>
        <w:rPr>
          <w:rStyle w:val="17"/>
          <w:rFonts w:ascii="Times New Roman" w:hAnsi="Times New Roman" w:cs="Times New Roman"/>
          <w:sz w:val="24"/>
          <w:szCs w:val="24"/>
          <w:lang w:val="en-US"/>
        </w:rPr>
        <w:t>https://icanig.org/ican/assets/docs/pro-study-texts-2025/ICAN%202025%20STUDY%20TEXT%20-%20TAXATION%20-%20QC.pdf</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025482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KPMG Nigeria, ‘Extension of Deadline for E-Invoicing Compliance’ (August 2025) </w:t>
      </w:r>
      <w:r>
        <w:fldChar w:fldCharType="begin"/>
      </w:r>
      <w:r>
        <w:instrText xml:space="preserve"> HYPERLINK "https://kpmg.com/ng/en/home/insights/2025/08/extension-of-deadline-for-e-invoicing-compliance-for-large-taxpayers.html" </w:instrText>
      </w:r>
      <w:r>
        <w:fldChar w:fldCharType="separate"/>
      </w:r>
      <w:r>
        <w:rPr>
          <w:rStyle w:val="17"/>
          <w:rFonts w:ascii="Times New Roman" w:hAnsi="Times New Roman" w:cs="Times New Roman"/>
          <w:sz w:val="24"/>
          <w:szCs w:val="24"/>
          <w:lang w:val="en-US"/>
        </w:rPr>
        <w:t>https://kpmg.com/ng/en/home/insights/2025/08/extension-of-deadline-for-e-invoicing-compliance-for-large-taxpayers.html</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1C63A1D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KPMG Nigeria, ‘National E-Invoicing Regime for Large Taxpayers’ </w:t>
      </w:r>
      <w:r>
        <w:rPr>
          <w:rFonts w:ascii="Times New Roman" w:hAnsi="Times New Roman" w:cs="Times New Roman"/>
          <w:i/>
          <w:iCs/>
          <w:sz w:val="24"/>
          <w:szCs w:val="24"/>
          <w:lang w:val="en-US"/>
        </w:rPr>
        <w:t>KPMG Insights</w:t>
      </w:r>
      <w:r>
        <w:rPr>
          <w:rFonts w:ascii="Times New Roman" w:hAnsi="Times New Roman" w:cs="Times New Roman"/>
          <w:sz w:val="24"/>
          <w:szCs w:val="24"/>
          <w:lang w:val="en-US"/>
        </w:rPr>
        <w:t xml:space="preserve"> (July 2025) </w:t>
      </w:r>
      <w:r>
        <w:fldChar w:fldCharType="begin"/>
      </w:r>
      <w:r>
        <w:instrText xml:space="preserve"> HYPERLINK "https://kpmg.com/ng/en/home/insights/2025/07/introduction-of-national-e-invoicing-regime-for-large-taxpayers.html" </w:instrText>
      </w:r>
      <w:r>
        <w:fldChar w:fldCharType="separate"/>
      </w:r>
      <w:r>
        <w:rPr>
          <w:rStyle w:val="17"/>
          <w:rFonts w:ascii="Times New Roman" w:hAnsi="Times New Roman" w:cs="Times New Roman"/>
          <w:sz w:val="24"/>
          <w:szCs w:val="24"/>
          <w:lang w:val="en-US"/>
        </w:rPr>
        <w:t>https://kpmg.com/ng/en/home/insights/2025/07/introduction-of-national-e-invoicing-regime-for-large-taxpayers.html</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7DC9081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KPMG Nigeria, ‘National E-Invoicing Regime for Large Taxpayers’ </w:t>
      </w:r>
      <w:r>
        <w:rPr>
          <w:rFonts w:ascii="Times New Roman" w:hAnsi="Times New Roman" w:cs="Times New Roman"/>
          <w:i/>
          <w:iCs/>
          <w:sz w:val="24"/>
          <w:szCs w:val="24"/>
          <w:lang w:val="en-US"/>
        </w:rPr>
        <w:t>KPMG TaxNewsFlash</w:t>
      </w:r>
      <w:r>
        <w:rPr>
          <w:rFonts w:ascii="Times New Roman" w:hAnsi="Times New Roman" w:cs="Times New Roman"/>
          <w:sz w:val="24"/>
          <w:szCs w:val="24"/>
          <w:lang w:val="en-US"/>
        </w:rPr>
        <w:t xml:space="preserve"> (July 2025) </w:t>
      </w:r>
      <w:r>
        <w:fldChar w:fldCharType="begin"/>
      </w:r>
      <w:r>
        <w:instrText xml:space="preserve"> HYPERLINK "https://kpmg.com/us/en/taxnewsflash/news/2025/07/nigeria-national-e-invoicing-regime-large-taxpayers.html" </w:instrText>
      </w:r>
      <w:r>
        <w:fldChar w:fldCharType="separate"/>
      </w:r>
      <w:r>
        <w:rPr>
          <w:rStyle w:val="17"/>
          <w:rFonts w:ascii="Times New Roman" w:hAnsi="Times New Roman" w:cs="Times New Roman"/>
          <w:sz w:val="24"/>
          <w:szCs w:val="24"/>
          <w:lang w:val="en-US"/>
        </w:rPr>
        <w:t>https://kpmg.com/us/en/taxnewsflash/news/2025/07/nigeria-national-e-invoicing-regime-large-taxpayers.html</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1D15927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NESG, ‘Key Provisions of Nigeria’s 2025 Tax Reform Laws’ (3 July 2025) </w:t>
      </w:r>
      <w:r>
        <w:fldChar w:fldCharType="begin"/>
      </w:r>
      <w:r>
        <w:instrText xml:space="preserve"> HYPERLINK "https://nesgroup.org/blog/A-New-Fiscal-Framework%3A-Key-Provisions-of-Nigeria%E2%80%99s-2025-Tax-Reform-Laws" </w:instrText>
      </w:r>
      <w:r>
        <w:fldChar w:fldCharType="separate"/>
      </w:r>
      <w:r>
        <w:rPr>
          <w:rStyle w:val="17"/>
          <w:rFonts w:ascii="Times New Roman" w:hAnsi="Times New Roman" w:cs="Times New Roman"/>
          <w:sz w:val="24"/>
          <w:szCs w:val="24"/>
          <w:lang w:val="en-US"/>
        </w:rPr>
        <w:t>https://nesgroup.org/blog/A-New-Fiscal-Framework%3A-Key-Provisions-of-Nigeria%E2%80%99s-2025-Tax-Reform-Laws</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0614603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NITDA, </w:t>
      </w:r>
      <w:r>
        <w:rPr>
          <w:rFonts w:ascii="Times New Roman" w:hAnsi="Times New Roman" w:cs="Times New Roman"/>
          <w:i/>
          <w:iCs/>
          <w:sz w:val="24"/>
          <w:szCs w:val="24"/>
          <w:lang w:val="en-US"/>
        </w:rPr>
        <w:t>National Regulatory Guideline for Electronic Invoicing in Nigeria 2025</w:t>
      </w:r>
      <w:r>
        <w:rPr>
          <w:rFonts w:ascii="Times New Roman" w:hAnsi="Times New Roman" w:cs="Times New Roman"/>
          <w:sz w:val="24"/>
          <w:szCs w:val="24"/>
          <w:lang w:val="en-US"/>
        </w:rPr>
        <w:t xml:space="preserve"> (NITDA 2025) </w:t>
      </w:r>
      <w:r>
        <w:fldChar w:fldCharType="begin"/>
      </w:r>
      <w:r>
        <w:instrText xml:space="preserve"> HYPERLINK "https://nitda.gov.ng/wp-content/uploads/2025/08/NATIONAL-REGULATORY-GUIDELINE-FOR-ELECTRONIC-INVOICING-IN-NIGERIA-2025.pdf" </w:instrText>
      </w:r>
      <w:r>
        <w:fldChar w:fldCharType="separate"/>
      </w:r>
      <w:r>
        <w:rPr>
          <w:rStyle w:val="17"/>
          <w:rFonts w:ascii="Times New Roman" w:hAnsi="Times New Roman" w:cs="Times New Roman"/>
          <w:sz w:val="24"/>
          <w:szCs w:val="24"/>
          <w:lang w:val="en-US"/>
        </w:rPr>
        <w:t>https://nitda.gov.ng/wp-content/uploads/2025/08/NATIONAL-REGULATORY-GUIDELINE-FOR-ELECTRONIC-INVOICING-IN-NIGERIA-2025.pdf</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09FFB52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PwC Nigeria, ‘Nigerian Tax Reform Acts’ (27 June 2025) </w:t>
      </w:r>
      <w:r>
        <w:fldChar w:fldCharType="begin"/>
      </w:r>
      <w:r>
        <w:instrText xml:space="preserve"> HYPERLINK "https://www.pwc.com/ng/en/publications/the-nigerian-tax-reform-acts.html" </w:instrText>
      </w:r>
      <w:r>
        <w:fldChar w:fldCharType="separate"/>
      </w:r>
      <w:r>
        <w:rPr>
          <w:rStyle w:val="17"/>
          <w:rFonts w:ascii="Times New Roman" w:hAnsi="Times New Roman" w:cs="Times New Roman"/>
          <w:sz w:val="24"/>
          <w:szCs w:val="24"/>
          <w:lang w:val="en-US"/>
        </w:rPr>
        <w:t>https://www.pwc.com/ng/en/publications/the-nigerian-tax-reform-acts.html</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19E0F6C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PwC Nigeria, </w:t>
      </w:r>
      <w:r>
        <w:rPr>
          <w:rFonts w:ascii="Times New Roman" w:hAnsi="Times New Roman" w:cs="Times New Roman"/>
          <w:i/>
          <w:iCs/>
          <w:sz w:val="24"/>
          <w:szCs w:val="24"/>
          <w:lang w:val="en-US"/>
        </w:rPr>
        <w:t>Nigerian Tax Reforms 2025</w:t>
      </w:r>
      <w:r>
        <w:rPr>
          <w:rFonts w:ascii="Times New Roman" w:hAnsi="Times New Roman" w:cs="Times New Roman"/>
          <w:sz w:val="24"/>
          <w:szCs w:val="24"/>
          <w:lang w:val="en-US"/>
        </w:rPr>
        <w:t xml:space="preserve"> </w:t>
      </w:r>
      <w:r>
        <w:fldChar w:fldCharType="begin"/>
      </w:r>
      <w:r>
        <w:instrText xml:space="preserve"> HYPERLINK "https://www.pwc.com/ng/en/assets/pdf/nigeria-tax-reform-insight-series-sectoral-analysis.pdf" </w:instrText>
      </w:r>
      <w:r>
        <w:fldChar w:fldCharType="separate"/>
      </w:r>
      <w:r>
        <w:rPr>
          <w:rStyle w:val="17"/>
          <w:rFonts w:ascii="Times New Roman" w:hAnsi="Times New Roman" w:cs="Times New Roman"/>
          <w:sz w:val="24"/>
          <w:szCs w:val="24"/>
          <w:lang w:val="en-US"/>
        </w:rPr>
        <w:t>https://www.pwc.com/ng/en/assets/pdf/nigeria-tax-reform-insight-series-sectoral-analysis.pdf</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F3B005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Reuters, ‘Nigeria Suspends FOB Levy on Imports after Industry Backlash’ (16 September 2025) </w:t>
      </w:r>
      <w:r>
        <w:fldChar w:fldCharType="begin"/>
      </w:r>
      <w:r>
        <w:instrText xml:space="preserve"> HYPERLINK "https://www.reuters.com/world/africa/nigeria-suspends-fob-levy-imports-after-industry-backlash-2025-09-16/" </w:instrText>
      </w:r>
      <w:r>
        <w:fldChar w:fldCharType="separate"/>
      </w:r>
      <w:r>
        <w:rPr>
          <w:rStyle w:val="17"/>
          <w:rFonts w:ascii="Times New Roman" w:hAnsi="Times New Roman" w:cs="Times New Roman"/>
          <w:sz w:val="24"/>
          <w:szCs w:val="24"/>
          <w:lang w:val="en-US"/>
        </w:rPr>
        <w:t>https://www.reuters.com/world/africa/nigeria-suspends-fob-levy-imports-after-industry-backlash-2025-09-16/</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F13E4D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Reuters, ‘Nigeria to Impose 10% WHT on Interest on Short-Term Securities’ (28 October 2025) </w:t>
      </w:r>
      <w:r>
        <w:fldChar w:fldCharType="begin"/>
      </w:r>
      <w:r>
        <w:instrText xml:space="preserve"> HYPERLINK "https://www.reuters.com/world/africa/nigeria-impose-10-withholding-tax-interest-short-term-securities-2025-10-28/" </w:instrText>
      </w:r>
      <w:r>
        <w:fldChar w:fldCharType="separate"/>
      </w:r>
      <w:r>
        <w:rPr>
          <w:rStyle w:val="17"/>
          <w:rFonts w:ascii="Times New Roman" w:hAnsi="Times New Roman" w:cs="Times New Roman"/>
          <w:sz w:val="24"/>
          <w:szCs w:val="24"/>
          <w:lang w:val="en-US"/>
        </w:rPr>
        <w:t>https://www.reuters.com/world/africa/nigeria-impose-10-withholding-tax-interest-short-term-securities-2025-10-28/</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0C86BB5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State House, ‘Tinubu Receives Quick Win Report on Fiscal Policy and Tax Reforms’ </w:t>
      </w:r>
      <w:r>
        <w:fldChar w:fldCharType="begin"/>
      </w:r>
      <w:r>
        <w:instrText xml:space="preserve"> HYPERLINK "https://statehouse.gov.ng/president-tinubu-receives-quick-win-report-on-fiscal-policy-and-tax-reforms/" </w:instrText>
      </w:r>
      <w:r>
        <w:fldChar w:fldCharType="separate"/>
      </w:r>
      <w:r>
        <w:rPr>
          <w:rStyle w:val="17"/>
          <w:rFonts w:ascii="Times New Roman" w:hAnsi="Times New Roman" w:cs="Times New Roman"/>
          <w:sz w:val="24"/>
          <w:szCs w:val="24"/>
          <w:lang w:val="en-US"/>
        </w:rPr>
        <w:t>https://statehouse.gov.ng/president-tinubu-receives-quick-win-report-on-fiscal-policy-and-tax-reforms/</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5B8B6E0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Uwaegbute, C, Erikume, K, Agbeyi, E, Adu, S, Chime, E, Obadina, I and Nwagha, O, </w:t>
      </w:r>
      <w:r>
        <w:rPr>
          <w:rFonts w:ascii="Times New Roman" w:hAnsi="Times New Roman" w:cs="Times New Roman"/>
          <w:i/>
          <w:iCs/>
          <w:sz w:val="24"/>
          <w:szCs w:val="24"/>
          <w:lang w:val="en-US"/>
        </w:rPr>
        <w:t>Nigerian Tax Reforms 2025</w:t>
      </w:r>
      <w:r>
        <w:rPr>
          <w:rFonts w:ascii="Times New Roman" w:hAnsi="Times New Roman" w:cs="Times New Roman"/>
          <w:sz w:val="24"/>
          <w:szCs w:val="24"/>
          <w:lang w:val="en-US"/>
        </w:rPr>
        <w:t xml:space="preserve"> (PwC 2026) </w:t>
      </w:r>
      <w:r>
        <w:fldChar w:fldCharType="begin"/>
      </w:r>
      <w:r>
        <w:instrText xml:space="preserve"> HYPERLINK "https://www.pwc.com/ng/en/assets/pdf/nigeria-tax-reform-insight-series-sectoral-analysis.pdf" </w:instrText>
      </w:r>
      <w:r>
        <w:fldChar w:fldCharType="separate"/>
      </w:r>
      <w:r>
        <w:rPr>
          <w:rStyle w:val="17"/>
          <w:rFonts w:ascii="Times New Roman" w:hAnsi="Times New Roman" w:cs="Times New Roman"/>
          <w:sz w:val="24"/>
          <w:szCs w:val="24"/>
          <w:lang w:val="en-US"/>
        </w:rPr>
        <w:t>https://www.pwc.com/ng/en/assets/pdf/nigeria-tax-reform-insight-series-sectoral-analysis.pdf</w:t>
      </w:r>
      <w:r>
        <w:rPr>
          <w:rStyle w:val="17"/>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20 June 2026.</w:t>
      </w:r>
    </w:p>
    <w:p w14:paraId="42502B1C">
      <w:pPr>
        <w:spacing w:line="480" w:lineRule="auto"/>
        <w:jc w:val="both"/>
        <w:rPr>
          <w:rFonts w:ascii="Times New Roman" w:hAnsi="Times New Roman" w:cs="Times New Roman"/>
          <w:sz w:val="24"/>
          <w:szCs w:val="24"/>
        </w:rPr>
      </w:pPr>
    </w:p>
    <w:sectPr>
      <w:headerReference r:id="rId6" w:type="default"/>
      <w:footerReference r:id="rId7" w:type="default"/>
      <w:pgSz w:w="11907" w:h="16839"/>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00000000" w:usb1="00000000" w:usb2="00000029" w:usb3="00000000" w:csb0="000101FF" w:csb1="00000000"/>
  </w:font>
  <w:font w:name="-webkit-standard">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155362"/>
    </w:sdtPr>
    <w:sdtEndPr>
      <w:rPr>
        <w:rFonts w:ascii="Times New Roman" w:hAnsi="Times New Roman" w:cs="Times New Roman"/>
        <w:sz w:val="24"/>
        <w:szCs w:val="24"/>
      </w:rPr>
    </w:sdtEndPr>
    <w:sdtContent>
      <w:p w14:paraId="459C6802">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viii</w:t>
        </w:r>
        <w:r>
          <w:rPr>
            <w:rFonts w:ascii="Times New Roman" w:hAnsi="Times New Roman" w:cs="Times New Roman"/>
            <w:sz w:val="24"/>
            <w:szCs w:val="24"/>
          </w:rPr>
          <w:fldChar w:fldCharType="end"/>
        </w:r>
      </w:p>
    </w:sdtContent>
  </w:sdt>
  <w:p w14:paraId="69AFF3EA">
    <w:pPr>
      <w:pStyle w:val="6"/>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40D2D">
    <w:pPr>
      <w:pStyle w:val="6"/>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14:paraId="463C02B7">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M Awodun, O Somorin and A Sanni, ‘Optimising Tax Admin through Digital Transformation’ [2024] (16) (4) </w:t>
      </w:r>
      <w:r>
        <w:rPr>
          <w:rFonts w:ascii="Times New Roman" w:hAnsi="Times New Roman" w:cs="Times New Roman"/>
          <w:i/>
        </w:rPr>
        <w:t>J Acct &amp; Taxn</w:t>
      </w:r>
      <w:r>
        <w:rPr>
          <w:rFonts w:ascii="Times New Roman" w:hAnsi="Times New Roman" w:cs="Times New Roman"/>
        </w:rPr>
        <w:t xml:space="preserve"> 217-225 &lt;https://doi.org/10.5897/JAT2024.0625&gt; accessed 20 June 2026.</w:t>
      </w:r>
    </w:p>
  </w:footnote>
  <w:footnote w:id="1">
    <w:p w14:paraId="44EC8AF8">
      <w:pPr>
        <w:pStyle w:val="7"/>
        <w:rPr>
          <w:lang w:val="en-US"/>
        </w:rPr>
      </w:pPr>
      <w:r>
        <w:rPr>
          <w:rStyle w:val="16"/>
        </w:rPr>
        <w:footnoteRef/>
      </w:r>
      <w:r>
        <w:rPr>
          <w:rFonts w:ascii="Times New Roman" w:hAnsi="Times New Roman" w:cs="Times New Roman"/>
        </w:rPr>
        <w:t xml:space="preserve"> L George and A Achirga, ‘Nigeria’s Advisory Body Proposes Central Tax Agency’ </w:t>
      </w:r>
      <w:r>
        <w:rPr>
          <w:rFonts w:ascii="Times New Roman" w:hAnsi="Times New Roman" w:cs="Times New Roman"/>
          <w:i/>
        </w:rPr>
        <w:t>Reuters</w:t>
      </w:r>
      <w:r>
        <w:rPr>
          <w:rFonts w:ascii="Times New Roman" w:hAnsi="Times New Roman" w:cs="Times New Roman"/>
        </w:rPr>
        <w:t xml:space="preserve"> (30 May 2024) &lt;https://www.reuters.com/markets/nigerias-advisory-body-proposes-creation-central-tax-agency-2024-05-30/&gt; accessed 20 June 2026.</w:t>
      </w:r>
    </w:p>
  </w:footnote>
  <w:footnote w:id="2">
    <w:p w14:paraId="1A41D8D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w:t>
      </w:r>
    </w:p>
  </w:footnote>
  <w:footnote w:id="3">
    <w:p w14:paraId="75CFCB73">
      <w:pPr>
        <w:pStyle w:val="7"/>
        <w:rPr>
          <w:lang w:val="en-US"/>
        </w:rPr>
      </w:pPr>
      <w:r>
        <w:rPr>
          <w:rStyle w:val="16"/>
        </w:rPr>
        <w:footnoteRef/>
      </w:r>
      <w:r>
        <w:rPr>
          <w:rFonts w:ascii="Times New Roman" w:hAnsi="Times New Roman" w:cs="Times New Roman"/>
        </w:rPr>
        <w:t xml:space="preserve"> Ibid.</w:t>
      </w:r>
    </w:p>
  </w:footnote>
  <w:footnote w:id="4">
    <w:p w14:paraId="33A5497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D Alake, ‘Tinubu Sets up Tax Reforms C’ttee’ </w:t>
      </w:r>
      <w:r>
        <w:rPr>
          <w:rFonts w:ascii="Times New Roman" w:hAnsi="Times New Roman" w:cs="Times New Roman"/>
          <w:i/>
        </w:rPr>
        <w:t>State House Press Release</w:t>
      </w:r>
      <w:r>
        <w:rPr>
          <w:rFonts w:ascii="Times New Roman" w:hAnsi="Times New Roman" w:cs="Times New Roman"/>
        </w:rPr>
        <w:t xml:space="preserve"> (7 July 2023) &lt;https://statehouse.gov.ng/president-tinubu-sets-up-committee-on-tax-reforms/&gt; accessed 20 June 2026.</w:t>
      </w:r>
    </w:p>
  </w:footnote>
  <w:footnote w:id="5">
    <w:p w14:paraId="15D283AC">
      <w:pPr>
        <w:pStyle w:val="7"/>
        <w:rPr>
          <w:lang w:val="en-US"/>
        </w:rPr>
      </w:pPr>
      <w:r>
        <w:rPr>
          <w:rStyle w:val="16"/>
        </w:rPr>
        <w:footnoteRef/>
      </w:r>
      <w:r>
        <w:rPr>
          <w:rFonts w:ascii="Times New Roman" w:hAnsi="Times New Roman" w:cs="Times New Roman"/>
        </w:rPr>
        <w:t xml:space="preserve"> Ibid.</w:t>
      </w:r>
    </w:p>
  </w:footnote>
  <w:footnote w:id="6">
    <w:p w14:paraId="051B81C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w:t>
      </w:r>
    </w:p>
  </w:footnote>
  <w:footnote w:id="7">
    <w:p w14:paraId="7FBCF1A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L George and A Achirga, ‘Nigeria Delays New Tax Law to 2026’ </w:t>
      </w:r>
      <w:r>
        <w:rPr>
          <w:rFonts w:ascii="Times New Roman" w:hAnsi="Times New Roman" w:cs="Times New Roman"/>
          <w:i/>
        </w:rPr>
        <w:t>Reuters</w:t>
      </w:r>
      <w:r>
        <w:rPr>
          <w:rFonts w:ascii="Times New Roman" w:hAnsi="Times New Roman" w:cs="Times New Roman"/>
        </w:rPr>
        <w:t xml:space="preserve"> (9 September 2025) &lt;https://www.reuters.com/sustainability/boards-policy-regulation/nigeria-delays-new-tax-law-2026-amid-fears-worsening-living-costs-2025-09-09/&gt; accessed 20 June 2026.</w:t>
      </w:r>
    </w:p>
  </w:footnote>
  <w:footnote w:id="8">
    <w:p w14:paraId="6E6028B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George and Achirga (n 2).</w:t>
      </w:r>
    </w:p>
  </w:footnote>
  <w:footnote w:id="9">
    <w:p w14:paraId="5ADD5C8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Lagos State v Eko Hotels Ltd and anor</w:t>
      </w:r>
      <w:r>
        <w:rPr>
          <w:rFonts w:ascii="Times New Roman" w:hAnsi="Times New Roman" w:cs="Times New Roman"/>
        </w:rPr>
        <w:t xml:space="preserve"> [2017] 12 SC (Pt 1) 107.</w:t>
      </w:r>
    </w:p>
  </w:footnote>
  <w:footnote w:id="10">
    <w:p w14:paraId="11392A4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‘National E-Invoicing Regime for Large Taxpayers’ </w:t>
      </w:r>
      <w:r>
        <w:rPr>
          <w:rFonts w:ascii="Times New Roman" w:hAnsi="Times New Roman" w:cs="Times New Roman"/>
          <w:i/>
        </w:rPr>
        <w:t>KPMG Insights</w:t>
      </w:r>
      <w:r>
        <w:rPr>
          <w:rFonts w:ascii="Times New Roman" w:hAnsi="Times New Roman" w:cs="Times New Roman"/>
        </w:rPr>
        <w:t xml:space="preserve"> (July 2025) &lt;https://kpmg.com/ng/en/home/insights/2025/07/introduction-of-national-e-invoicing-regime-for-large-taxpayers.html&gt; accessed 20 June 2026.</w:t>
      </w:r>
    </w:p>
  </w:footnote>
  <w:footnote w:id="11">
    <w:p w14:paraId="6B504E8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11).</w:t>
      </w:r>
    </w:p>
  </w:footnote>
  <w:footnote w:id="12">
    <w:p w14:paraId="54B4E1C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George and Achirga (n 2).</w:t>
      </w:r>
    </w:p>
  </w:footnote>
  <w:footnote w:id="13">
    <w:p w14:paraId="1903FDE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R O Ishiguzo, ‘Tax Reform Bills 2024’ [2024] (5) (1) </w:t>
      </w:r>
      <w:r>
        <w:rPr>
          <w:rFonts w:ascii="Times New Roman" w:hAnsi="Times New Roman" w:cs="Times New Roman"/>
          <w:i/>
        </w:rPr>
        <w:t>L &amp; Soc Just Rev</w:t>
      </w:r>
      <w:r>
        <w:rPr>
          <w:rFonts w:ascii="Times New Roman" w:hAnsi="Times New Roman" w:cs="Times New Roman"/>
        </w:rPr>
        <w:t xml:space="preserve"> 122-131 &lt;https://nigerianjournalsonline.org/index.php/LASJURE/article/view/5982&gt; accessed 20 June 2026.</w:t>
      </w:r>
    </w:p>
  </w:footnote>
  <w:footnote w:id="14">
    <w:p w14:paraId="6D88971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 R Offor, ‘Nigeria’s Tax Reform Acts 2025’ [2025] </w:t>
      </w:r>
      <w:r>
        <w:rPr>
          <w:rFonts w:ascii="Times New Roman" w:hAnsi="Times New Roman" w:cs="Times New Roman"/>
          <w:i/>
        </w:rPr>
        <w:t>SSRN e-J</w:t>
      </w:r>
      <w:r>
        <w:rPr>
          <w:rFonts w:ascii="Times New Roman" w:hAnsi="Times New Roman" w:cs="Times New Roman"/>
        </w:rPr>
        <w:t xml:space="preserve"> &lt;https://papers.ssrn.com/sol3/papers.cfm?abstract_id=5438856&gt; accessed 20 June 2026.</w:t>
      </w:r>
    </w:p>
  </w:footnote>
  <w:footnote w:id="15">
    <w:p w14:paraId="5D594CD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11).</w:t>
      </w:r>
    </w:p>
  </w:footnote>
  <w:footnote w:id="16">
    <w:p w14:paraId="7EBAE02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O Godwin and T F Lilly-Inia, ‘Tax Reform Bills and Public Service’ [2025] (8) (5) </w:t>
      </w:r>
      <w:r>
        <w:rPr>
          <w:rFonts w:ascii="Times New Roman" w:hAnsi="Times New Roman" w:cs="Times New Roman"/>
          <w:i/>
        </w:rPr>
        <w:t>Am J Econ &amp; Bus Mgmt</w:t>
      </w:r>
      <w:r>
        <w:rPr>
          <w:rFonts w:ascii="Times New Roman" w:hAnsi="Times New Roman" w:cs="Times New Roman"/>
        </w:rPr>
        <w:t xml:space="preserve"> 1864-1873 &lt;https://doi.org/10.31150/ajebm.v8i5.3514&gt; accessed 20 June 2026.</w:t>
      </w:r>
    </w:p>
  </w:footnote>
  <w:footnote w:id="17">
    <w:p w14:paraId="453BCD1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 Ewim, M Komolafe, O Ejike, E Agu and I Okeke, ‘Regulatory Model for Harmonising Tax Collection’ [2024] (6) (9) </w:t>
      </w:r>
      <w:r>
        <w:rPr>
          <w:rFonts w:ascii="Times New Roman" w:hAnsi="Times New Roman" w:cs="Times New Roman"/>
          <w:i/>
        </w:rPr>
        <w:t>Int'l J Adv Econ</w:t>
      </w:r>
      <w:r>
        <w:rPr>
          <w:rFonts w:ascii="Times New Roman" w:hAnsi="Times New Roman" w:cs="Times New Roman"/>
        </w:rPr>
        <w:t xml:space="preserve"> 457-470 &lt;https://www.researchgate.net/publication/384336204_A_regulatory_model_for_harmonizing_tax_collection_across_Nigerian_states_The_role_of_the_joint_tax_board&gt; accessed 20 June 2026.</w:t>
      </w:r>
    </w:p>
  </w:footnote>
  <w:footnote w:id="18">
    <w:p w14:paraId="7F5D907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M N Umenweke, ‘Critical Assessment of Nigeria’s JRB Bill 2024’ [2024] (5) (1) </w:t>
      </w:r>
      <w:r>
        <w:rPr>
          <w:rFonts w:ascii="Times New Roman" w:hAnsi="Times New Roman" w:cs="Times New Roman"/>
          <w:i/>
        </w:rPr>
        <w:t>LASJURE</w:t>
      </w:r>
      <w:r>
        <w:rPr>
          <w:rFonts w:ascii="Times New Roman" w:hAnsi="Times New Roman" w:cs="Times New Roman"/>
        </w:rPr>
        <w:t xml:space="preserve"> 20-27 &lt;https://www.nigerianjournalsonline.com/index.php/LASJURE/article/view/5786&gt; accessed 20 June 2026.</w:t>
      </w:r>
    </w:p>
  </w:footnote>
  <w:footnote w:id="19">
    <w:p w14:paraId="3DB77A8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w:t>
      </w:r>
    </w:p>
  </w:footnote>
  <w:footnote w:id="20">
    <w:p w14:paraId="434D396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U Abbo, ‘Nigeria’s New Tax Reform and Fiscal Sustainability’ [2025] (1) (1) </w:t>
      </w:r>
      <w:r>
        <w:rPr>
          <w:rFonts w:ascii="Times New Roman" w:hAnsi="Times New Roman" w:cs="Times New Roman"/>
          <w:i/>
        </w:rPr>
        <w:t>AUN J Soc Sci</w:t>
      </w:r>
      <w:r>
        <w:rPr>
          <w:rFonts w:ascii="Times New Roman" w:hAnsi="Times New Roman" w:cs="Times New Roman"/>
        </w:rPr>
        <w:t xml:space="preserve"> 1-26 &lt;https://journals.aun.edu.ng/index.php/aunjss/article/view/177&gt; accessed 20 June 2026.</w:t>
      </w:r>
    </w:p>
  </w:footnote>
  <w:footnote w:id="21">
    <w:p w14:paraId="1919E6C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Awodun and others (n 1).</w:t>
      </w:r>
    </w:p>
  </w:footnote>
  <w:footnote w:id="22">
    <w:p w14:paraId="30C49C17">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 Kareem and C O Olaoye, ‘Tax Digitalisation and Revenue Performance’ [2025] (11) (2) </w:t>
      </w:r>
      <w:r>
        <w:rPr>
          <w:rFonts w:ascii="Times New Roman" w:hAnsi="Times New Roman" w:cs="Times New Roman"/>
          <w:i/>
        </w:rPr>
        <w:t>NJBFI</w:t>
      </w:r>
      <w:r>
        <w:rPr>
          <w:rFonts w:ascii="Times New Roman" w:hAnsi="Times New Roman" w:cs="Times New Roman"/>
        </w:rPr>
        <w:t xml:space="preserve"> 313-325 &lt;https://eksujournal.eksu.edu.ng/ojs/index.php/njbfi/article/download/114/383&gt; accessed 20 June 2026.</w:t>
      </w:r>
    </w:p>
  </w:footnote>
  <w:footnote w:id="23">
    <w:p w14:paraId="6573DB3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 Tandu, ‘E-Invoicing and Real-Time Reporting’ [2025] </w:t>
      </w:r>
      <w:r>
        <w:rPr>
          <w:rFonts w:ascii="Times New Roman" w:hAnsi="Times New Roman" w:cs="Times New Roman"/>
          <w:i/>
        </w:rPr>
        <w:t>SSRN e-J</w:t>
      </w:r>
      <w:r>
        <w:rPr>
          <w:rFonts w:ascii="Times New Roman" w:hAnsi="Times New Roman" w:cs="Times New Roman"/>
        </w:rPr>
        <w:t xml:space="preserve"> &lt;https://papers.ssrn.com/sol3/papers.cfm?abstract_id=5603411&gt; accessed 20 June 2026.</w:t>
      </w:r>
    </w:p>
  </w:footnote>
  <w:footnote w:id="24">
    <w:p w14:paraId="75A21F8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 M Oloyede, O J Otusanya and A-P David, ‘Taxation and SME Performance in Nigeria’ [2024] (10) (1) </w:t>
      </w:r>
      <w:r>
        <w:rPr>
          <w:rFonts w:ascii="Times New Roman" w:hAnsi="Times New Roman" w:cs="Times New Roman"/>
          <w:i/>
        </w:rPr>
        <w:t>Glob J Acct</w:t>
      </w:r>
      <w:r>
        <w:rPr>
          <w:rFonts w:ascii="Times New Roman" w:hAnsi="Times New Roman" w:cs="Times New Roman"/>
        </w:rPr>
        <w:t xml:space="preserve"> 40-61 &lt;https://gja.unilag.edu.ng/article/view/2273&gt; accessed 20 June 2026.</w:t>
      </w:r>
    </w:p>
  </w:footnote>
  <w:footnote w:id="25">
    <w:p w14:paraId="3064EDBD">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O G Ehichioya and D Attah, ‘Multiple Taxation and Selected SMEs’ [2024] (17) (1) </w:t>
      </w:r>
      <w:r>
        <w:rPr>
          <w:rFonts w:ascii="Times New Roman" w:hAnsi="Times New Roman" w:cs="Times New Roman"/>
          <w:i/>
        </w:rPr>
        <w:t>Afr J Mgmt &amp; Bus Res</w:t>
      </w:r>
      <w:r>
        <w:rPr>
          <w:rFonts w:ascii="Times New Roman" w:hAnsi="Times New Roman" w:cs="Times New Roman"/>
        </w:rPr>
        <w:t xml:space="preserve"> 206-217 &lt;https://doi.org/10.62154/ajmbr.2024.017.010500&gt; accessed 20 June 2026.</w:t>
      </w:r>
    </w:p>
  </w:footnote>
  <w:footnote w:id="26">
    <w:p w14:paraId="035311B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 A Ayua, </w:t>
      </w:r>
      <w:r>
        <w:rPr>
          <w:rFonts w:ascii="Times New Roman" w:hAnsi="Times New Roman" w:cs="Times New Roman"/>
          <w:i/>
        </w:rPr>
        <w:t>Nigeria Tax Law</w:t>
      </w:r>
      <w:r>
        <w:rPr>
          <w:rFonts w:ascii="Times New Roman" w:hAnsi="Times New Roman" w:cs="Times New Roman"/>
        </w:rPr>
        <w:t xml:space="preserve"> (Spectrum Law Publishing 1996) 9.</w:t>
      </w:r>
    </w:p>
  </w:footnote>
  <w:footnote w:id="27">
    <w:p w14:paraId="75CE6D3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ICAN, ‘Taxation Study Text’ (2025) &lt;https://icanig.org/ican/assets/docs/pro-study-texts-2025/ICAN%202025%20STUDY%20TEXT%20-%20TAXATION%20-%20QC.pdf&gt; accessed 20 June 2026.</w:t>
      </w:r>
    </w:p>
  </w:footnote>
  <w:footnote w:id="28">
    <w:p w14:paraId="7F0E3C4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s 24(f).</w:t>
      </w:r>
    </w:p>
  </w:footnote>
  <w:footnote w:id="29">
    <w:p w14:paraId="743F7C0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Lagos State v Eko Hotels Ltd and anor</w:t>
      </w:r>
      <w:r>
        <w:rPr>
          <w:rFonts w:ascii="Times New Roman" w:hAnsi="Times New Roman" w:cs="Times New Roman"/>
        </w:rPr>
        <w:t xml:space="preserve"> [2017] 12 SC (Pt 1) 107.</w:t>
      </w:r>
    </w:p>
  </w:footnote>
  <w:footnote w:id="30">
    <w:p w14:paraId="5584F79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 Eboh and E Bala-Gbogbo, ‘Nigeria’s Lower House Passes Tax Reform Bills’ </w:t>
      </w:r>
      <w:r>
        <w:rPr>
          <w:rFonts w:ascii="Times New Roman" w:hAnsi="Times New Roman" w:cs="Times New Roman"/>
          <w:i/>
        </w:rPr>
        <w:t>Reuters</w:t>
      </w:r>
      <w:r>
        <w:rPr>
          <w:rFonts w:ascii="Times New Roman" w:hAnsi="Times New Roman" w:cs="Times New Roman"/>
        </w:rPr>
        <w:t xml:space="preserve"> (13 March 2025) &lt;https://www.reuters.com/world/africa/nigerias-lower-house-parliament-passes-tax-reform-bills-with-some-tweaks-2025-03-13/&gt; accessed 20 June 2026.</w:t>
      </w:r>
    </w:p>
  </w:footnote>
  <w:footnote w:id="31">
    <w:p w14:paraId="4DFCBB2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Ogun State v Aberuagba</w:t>
      </w:r>
      <w:r>
        <w:rPr>
          <w:rFonts w:ascii="Times New Roman" w:hAnsi="Times New Roman" w:cs="Times New Roman"/>
        </w:rPr>
        <w:t xml:space="preserve"> [1985] LPELR-SC.20.</w:t>
      </w:r>
    </w:p>
  </w:footnote>
  <w:footnote w:id="32">
    <w:p w14:paraId="133DB1F1">
      <w:pPr>
        <w:pStyle w:val="7"/>
        <w:rPr>
          <w:lang w:val="en-US"/>
        </w:rPr>
      </w:pPr>
      <w:r>
        <w:rPr>
          <w:rStyle w:val="16"/>
        </w:rPr>
        <w:footnoteRef/>
      </w:r>
      <w:r>
        <w:rPr>
          <w:rFonts w:ascii="Times New Roman" w:hAnsi="Times New Roman" w:cs="Times New Roman"/>
        </w:rPr>
        <w:t xml:space="preserve"> S M Olokooba, </w:t>
      </w:r>
      <w:r>
        <w:rPr>
          <w:rFonts w:ascii="Times New Roman" w:hAnsi="Times New Roman" w:cs="Times New Roman"/>
          <w:i/>
        </w:rPr>
        <w:t>Nigerian Taxation: Law, Practice and Procedures Simplified</w:t>
      </w:r>
      <w:r>
        <w:rPr>
          <w:rFonts w:ascii="Times New Roman" w:hAnsi="Times New Roman" w:cs="Times New Roman"/>
        </w:rPr>
        <w:t xml:space="preserve"> (Springer 2019) 107-123, 141-145.</w:t>
      </w:r>
    </w:p>
  </w:footnote>
  <w:footnote w:id="33">
    <w:p w14:paraId="20DD972D">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 Eboh, ‘Nigeria to Implement New Tax Laws from January 1’ </w:t>
      </w:r>
      <w:r>
        <w:rPr>
          <w:rFonts w:ascii="Times New Roman" w:hAnsi="Times New Roman" w:cs="Times New Roman"/>
          <w:i/>
        </w:rPr>
        <w:t>Reuters</w:t>
      </w:r>
      <w:r>
        <w:rPr>
          <w:rFonts w:ascii="Times New Roman" w:hAnsi="Times New Roman" w:cs="Times New Roman"/>
        </w:rPr>
        <w:t xml:space="preserve"> (30 December 2025) &lt;https://www.reuters.com/world/africa/nigeria-implement-new-tax-laws-january-1-despite-calls-delay-tinubu-says-2025-12-30/&gt; accessed 20 June 2026.</w:t>
      </w:r>
    </w:p>
  </w:footnote>
  <w:footnote w:id="34">
    <w:p w14:paraId="762F6FE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Act 2025; Nigeria Tax Administration Act 2025; Nigeria Revenue Service Act 2025; Joint Revenue Board Act 2025.</w:t>
      </w:r>
    </w:p>
  </w:footnote>
  <w:footnote w:id="35">
    <w:p w14:paraId="3124D63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Administration Act 2025, s 47(1)-(3).</w:t>
      </w:r>
    </w:p>
  </w:footnote>
  <w:footnote w:id="36">
    <w:p w14:paraId="786B12F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Kareem and Olaoye (n 23).</w:t>
      </w:r>
    </w:p>
  </w:footnote>
  <w:footnote w:id="37">
    <w:p w14:paraId="045A4CEC">
      <w:pPr>
        <w:pStyle w:val="7"/>
        <w:rPr>
          <w:lang w:val="en-US"/>
        </w:rPr>
      </w:pPr>
      <w:r>
        <w:rPr>
          <w:rStyle w:val="16"/>
        </w:rPr>
        <w:footnoteRef/>
      </w:r>
      <w:r>
        <w:rPr>
          <w:rFonts w:ascii="Times New Roman" w:hAnsi="Times New Roman" w:cs="Times New Roman"/>
        </w:rPr>
        <w:t xml:space="preserve"> J Finnis, </w:t>
      </w:r>
      <w:r>
        <w:rPr>
          <w:rFonts w:ascii="Times New Roman" w:hAnsi="Times New Roman" w:cs="Times New Roman"/>
          <w:i/>
        </w:rPr>
        <w:t>Natural Law and Natural Rights</w:t>
      </w:r>
      <w:r>
        <w:rPr>
          <w:rFonts w:ascii="Times New Roman" w:hAnsi="Times New Roman" w:cs="Times New Roman"/>
        </w:rPr>
        <w:t xml:space="preserve"> (2nd edn, OUP 2011) 34.</w:t>
      </w:r>
    </w:p>
  </w:footnote>
  <w:footnote w:id="38">
    <w:p w14:paraId="522C113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Thomas Aquinas, </w:t>
      </w:r>
      <w:r>
        <w:rPr>
          <w:rFonts w:ascii="Times New Roman" w:hAnsi="Times New Roman" w:cs="Times New Roman"/>
          <w:i/>
        </w:rPr>
        <w:t>Summa Theologiae</w:t>
      </w:r>
      <w:r>
        <w:rPr>
          <w:rFonts w:ascii="Times New Roman" w:hAnsi="Times New Roman" w:cs="Times New Roman"/>
        </w:rPr>
        <w:t xml:space="preserve"> I-II, q 90, art 4.</w:t>
      </w:r>
    </w:p>
  </w:footnote>
  <w:footnote w:id="39">
    <w:p w14:paraId="70AFEDA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Finnis (n 38) 36.</w:t>
      </w:r>
    </w:p>
  </w:footnote>
  <w:footnote w:id="40">
    <w:p w14:paraId="2B6BA66D">
      <w:pPr>
        <w:pStyle w:val="7"/>
        <w:rPr>
          <w:lang w:val="en-US"/>
        </w:rPr>
      </w:pPr>
      <w:r>
        <w:rPr>
          <w:rStyle w:val="16"/>
        </w:rPr>
        <w:footnoteRef/>
      </w:r>
      <w:r>
        <w:rPr>
          <w:rFonts w:ascii="Times New Roman" w:hAnsi="Times New Roman" w:cs="Times New Roman"/>
        </w:rPr>
        <w:t xml:space="preserve"> Cicero, </w:t>
      </w:r>
      <w:r>
        <w:rPr>
          <w:rFonts w:ascii="Times New Roman" w:hAnsi="Times New Roman" w:cs="Times New Roman"/>
          <w:i/>
        </w:rPr>
        <w:t>De Legibus</w:t>
      </w:r>
      <w:r>
        <w:rPr>
          <w:rFonts w:ascii="Times New Roman" w:hAnsi="Times New Roman" w:cs="Times New Roman"/>
        </w:rPr>
        <w:t xml:space="preserve"> III.</w:t>
      </w:r>
    </w:p>
  </w:footnote>
  <w:footnote w:id="41">
    <w:p w14:paraId="1E82620D">
      <w:pPr>
        <w:pStyle w:val="7"/>
        <w:rPr>
          <w:lang w:val="en-US"/>
        </w:rPr>
      </w:pPr>
      <w:r>
        <w:rPr>
          <w:rStyle w:val="16"/>
        </w:rPr>
        <w:footnoteRef/>
      </w:r>
      <w:r>
        <w:rPr>
          <w:rFonts w:ascii="Times New Roman" w:hAnsi="Times New Roman" w:cs="Times New Roman"/>
        </w:rPr>
        <w:t xml:space="preserve"> Baker Tilly Nigeria, ‘Nigeria’s 2025 Tax Reform Acts Explained’ (23 August 2025) &lt;https://www.bakertilly.ng/insights/nigerias-2025-tax-reform-acts-explained&gt; accessed 20 June 2026.</w:t>
      </w:r>
    </w:p>
  </w:footnote>
  <w:footnote w:id="42">
    <w:p w14:paraId="027D866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and Bala-Gbogbo (n 31).</w:t>
      </w:r>
    </w:p>
  </w:footnote>
  <w:footnote w:id="43">
    <w:p w14:paraId="4C87E2EA">
      <w:pPr>
        <w:pStyle w:val="7"/>
        <w:rPr>
          <w:lang w:val="en-US"/>
        </w:rPr>
      </w:pPr>
      <w:r>
        <w:rPr>
          <w:rStyle w:val="16"/>
        </w:rPr>
        <w:footnoteRef/>
      </w:r>
      <w:r>
        <w:rPr>
          <w:rFonts w:ascii="Times New Roman" w:hAnsi="Times New Roman" w:cs="Times New Roman"/>
        </w:rPr>
        <w:t xml:space="preserve"> H L A Hart, </w:t>
      </w:r>
      <w:r>
        <w:rPr>
          <w:rFonts w:ascii="Times New Roman" w:hAnsi="Times New Roman" w:cs="Times New Roman"/>
          <w:i/>
        </w:rPr>
        <w:t>The Concept of Law</w:t>
      </w:r>
      <w:r>
        <w:rPr>
          <w:rFonts w:ascii="Times New Roman" w:hAnsi="Times New Roman" w:cs="Times New Roman"/>
        </w:rPr>
        <w:t xml:space="preserve"> (2nd edn, Clarendon Press 1994).</w:t>
      </w:r>
    </w:p>
  </w:footnote>
  <w:footnote w:id="44">
    <w:p w14:paraId="2C12487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H L A Hart, ‘Positivism and the Separation of Law and Morals’ [1958] (71) (4) </w:t>
      </w:r>
      <w:r>
        <w:rPr>
          <w:rFonts w:ascii="Times New Roman" w:hAnsi="Times New Roman" w:cs="Times New Roman"/>
          <w:i/>
        </w:rPr>
        <w:t>Harv L Rev</w:t>
      </w:r>
      <w:r>
        <w:rPr>
          <w:rFonts w:ascii="Times New Roman" w:hAnsi="Times New Roman" w:cs="Times New Roman"/>
        </w:rPr>
        <w:t xml:space="preserve"> 593, 601-602.</w:t>
      </w:r>
    </w:p>
  </w:footnote>
  <w:footnote w:id="45">
    <w:p w14:paraId="27B6463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Ogun State v Aberuagba</w:t>
      </w:r>
      <w:r>
        <w:rPr>
          <w:rFonts w:ascii="Times New Roman" w:hAnsi="Times New Roman" w:cs="Times New Roman"/>
        </w:rPr>
        <w:t xml:space="preserve"> [1985] LPELR-SC.20.</w:t>
      </w:r>
    </w:p>
  </w:footnote>
  <w:footnote w:id="46">
    <w:p w14:paraId="456AF46D">
      <w:pPr>
        <w:pStyle w:val="7"/>
        <w:rPr>
          <w:lang w:val="en-US"/>
        </w:rPr>
      </w:pPr>
      <w:r>
        <w:rPr>
          <w:rStyle w:val="16"/>
        </w:rPr>
        <w:footnoteRef/>
      </w:r>
      <w:r>
        <w:rPr>
          <w:rFonts w:ascii="Times New Roman" w:hAnsi="Times New Roman" w:cs="Times New Roman"/>
        </w:rPr>
        <w:t xml:space="preserve"> Ibid.</w:t>
      </w:r>
    </w:p>
  </w:footnote>
  <w:footnote w:id="47">
    <w:p w14:paraId="304B972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w:t>
      </w:r>
    </w:p>
  </w:footnote>
  <w:footnote w:id="48">
    <w:p w14:paraId="1D16A77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 Bentham, ‘Anarchical Fallacies’ in J Bowring (ed), </w:t>
      </w:r>
      <w:r>
        <w:rPr>
          <w:rFonts w:ascii="Times New Roman" w:hAnsi="Times New Roman" w:cs="Times New Roman"/>
          <w:i/>
        </w:rPr>
        <w:t>The Works of Jeremy Bentham</w:t>
      </w:r>
      <w:r>
        <w:rPr>
          <w:rFonts w:ascii="Times New Roman" w:hAnsi="Times New Roman" w:cs="Times New Roman"/>
        </w:rPr>
        <w:t xml:space="preserve"> vol 2 (William Tait 1843) 489.</w:t>
      </w:r>
    </w:p>
  </w:footnote>
  <w:footnote w:id="49">
    <w:p w14:paraId="562D4813">
      <w:pPr>
        <w:pStyle w:val="7"/>
        <w:rPr>
          <w:lang w:val="en-US"/>
        </w:rPr>
      </w:pPr>
      <w:r>
        <w:rPr>
          <w:rStyle w:val="16"/>
        </w:rPr>
        <w:footnoteRef/>
      </w:r>
      <w:r>
        <w:rPr>
          <w:rFonts w:ascii="Times New Roman" w:hAnsi="Times New Roman" w:cs="Times New Roman"/>
        </w:rPr>
        <w:t xml:space="preserve"> J S Mill, </w:t>
      </w:r>
      <w:r>
        <w:rPr>
          <w:rFonts w:ascii="Times New Roman" w:hAnsi="Times New Roman" w:cs="Times New Roman"/>
          <w:i/>
        </w:rPr>
        <w:t>Utilitarianism</w:t>
      </w:r>
      <w:r>
        <w:rPr>
          <w:rFonts w:ascii="Times New Roman" w:hAnsi="Times New Roman" w:cs="Times New Roman"/>
        </w:rPr>
        <w:t xml:space="preserve"> (R Crisp ed, OUP 1998) 55-56.</w:t>
      </w:r>
    </w:p>
  </w:footnote>
  <w:footnote w:id="50">
    <w:p w14:paraId="371204D0">
      <w:pPr>
        <w:pStyle w:val="7"/>
        <w:rPr>
          <w:lang w:val="en-US"/>
        </w:rPr>
      </w:pPr>
      <w:r>
        <w:rPr>
          <w:rStyle w:val="16"/>
        </w:rPr>
        <w:footnoteRef/>
      </w:r>
      <w:r>
        <w:rPr>
          <w:rFonts w:ascii="Times New Roman" w:hAnsi="Times New Roman" w:cs="Times New Roman"/>
        </w:rPr>
        <w:t xml:space="preserve"> Bentham (n 49).</w:t>
      </w:r>
    </w:p>
  </w:footnote>
  <w:footnote w:id="51">
    <w:p w14:paraId="73BE8E2E">
      <w:pPr>
        <w:pStyle w:val="7"/>
        <w:rPr>
          <w:lang w:val="en-US"/>
        </w:rPr>
      </w:pPr>
      <w:r>
        <w:rPr>
          <w:rStyle w:val="16"/>
        </w:rPr>
        <w:footnoteRef/>
      </w:r>
      <w:r>
        <w:rPr>
          <w:rFonts w:ascii="Times New Roman" w:hAnsi="Times New Roman" w:cs="Times New Roman"/>
        </w:rPr>
        <w:t xml:space="preserve"> Mill (n 50).</w:t>
      </w:r>
    </w:p>
  </w:footnote>
  <w:footnote w:id="52">
    <w:p w14:paraId="67B650E7">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F Schauer, ‘Legal Realism Untamed’ [2013] (91) </w:t>
      </w:r>
      <w:r>
        <w:rPr>
          <w:rFonts w:ascii="Times New Roman" w:hAnsi="Times New Roman" w:cs="Times New Roman"/>
          <w:i/>
        </w:rPr>
        <w:t>Tex L Rev</w:t>
      </w:r>
      <w:r>
        <w:rPr>
          <w:rFonts w:ascii="Times New Roman" w:hAnsi="Times New Roman" w:cs="Times New Roman"/>
        </w:rPr>
        <w:t xml:space="preserve"> 749-780.</w:t>
      </w:r>
    </w:p>
  </w:footnote>
  <w:footnote w:id="53">
    <w:p w14:paraId="04BDD8C7">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Kareem and Olaoye (n 23).</w:t>
      </w:r>
    </w:p>
  </w:footnote>
  <w:footnote w:id="54">
    <w:p w14:paraId="2E7F456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Vodacom Business Nigeria Ltd v FIRS</w:t>
      </w:r>
      <w:r>
        <w:rPr>
          <w:rFonts w:ascii="Times New Roman" w:hAnsi="Times New Roman" w:cs="Times New Roman"/>
        </w:rPr>
        <w:t xml:space="preserve"> Appeal No CA/L/556/2018.</w:t>
      </w:r>
    </w:p>
  </w:footnote>
  <w:footnote w:id="55">
    <w:p w14:paraId="3D5BF58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(as amended), s 4.</w:t>
      </w:r>
    </w:p>
  </w:footnote>
  <w:footnote w:id="56">
    <w:p w14:paraId="5592E3B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5.</w:t>
      </w:r>
    </w:p>
  </w:footnote>
  <w:footnote w:id="57">
    <w:p w14:paraId="4F89728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251.</w:t>
      </w:r>
    </w:p>
  </w:footnote>
  <w:footnote w:id="58">
    <w:p w14:paraId="4DE50E4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(as amended), s 162.</w:t>
      </w:r>
    </w:p>
  </w:footnote>
  <w:footnote w:id="59">
    <w:p w14:paraId="732F760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w:t>
      </w:r>
    </w:p>
  </w:footnote>
  <w:footnote w:id="60">
    <w:p w14:paraId="0072EE2C">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(as amended), s 36(1).</w:t>
      </w:r>
    </w:p>
  </w:footnote>
  <w:footnote w:id="61">
    <w:p w14:paraId="4C08664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43.</w:t>
      </w:r>
    </w:p>
  </w:footnote>
  <w:footnote w:id="62">
    <w:p w14:paraId="1D8A378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w:t>
      </w:r>
    </w:p>
  </w:footnote>
  <w:footnote w:id="63">
    <w:p w14:paraId="10C26DB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Act 2025, s 1.</w:t>
      </w:r>
    </w:p>
  </w:footnote>
  <w:footnote w:id="64">
    <w:p w14:paraId="295F2DD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 Uwaegbute, K Erikume, E Agbeyi, S Adu, E Chime, I Obadina and O Nwagha, </w:t>
      </w:r>
      <w:r>
        <w:rPr>
          <w:rFonts w:ascii="Times New Roman" w:hAnsi="Times New Roman" w:cs="Times New Roman"/>
          <w:i/>
        </w:rPr>
        <w:t>Nigerian Tax Reforms 2025</w:t>
      </w:r>
      <w:r>
        <w:rPr>
          <w:rFonts w:ascii="Times New Roman" w:hAnsi="Times New Roman" w:cs="Times New Roman"/>
        </w:rPr>
        <w:t xml:space="preserve"> (PwC 2026) &lt;https://www.pwc.com/ng/en/assets/pdf/nigeria-tax-reform-insight-series-sectoral-analysis.pdf&gt; accessed 20 June 2026.</w:t>
      </w:r>
    </w:p>
  </w:footnote>
  <w:footnote w:id="65">
    <w:p w14:paraId="62FE117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Uwaegbute and others (n 65).</w:t>
      </w:r>
    </w:p>
  </w:footnote>
  <w:footnote w:id="66">
    <w:p w14:paraId="49B305F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Administration Act 2025, s 1.</w:t>
      </w:r>
    </w:p>
  </w:footnote>
  <w:footnote w:id="67">
    <w:p w14:paraId="2B12A9D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3.</w:t>
      </w:r>
    </w:p>
  </w:footnote>
  <w:footnote w:id="68">
    <w:p w14:paraId="51B8B76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Administration Act 2025, ss 4-10.</w:t>
      </w:r>
    </w:p>
  </w:footnote>
  <w:footnote w:id="69">
    <w:p w14:paraId="189E13D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57.</w:t>
      </w:r>
    </w:p>
  </w:footnote>
  <w:footnote w:id="70">
    <w:p w14:paraId="5137757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ss 34-41.</w:t>
      </w:r>
    </w:p>
  </w:footnote>
  <w:footnote w:id="71">
    <w:p w14:paraId="6FCEF37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Revenue Service Act 2025, s 3.</w:t>
      </w:r>
    </w:p>
  </w:footnote>
  <w:footnote w:id="72">
    <w:p w14:paraId="02ADE0E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Joint Revenue Board Act 2025, s 3.</w:t>
      </w:r>
    </w:p>
  </w:footnote>
  <w:footnote w:id="73">
    <w:p w14:paraId="06C4419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Joint Revenue Board Act 2025, s 1.</w:t>
      </w:r>
    </w:p>
  </w:footnote>
  <w:footnote w:id="74">
    <w:p w14:paraId="69DCFC9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4.</w:t>
      </w:r>
    </w:p>
  </w:footnote>
  <w:footnote w:id="75">
    <w:p w14:paraId="28E3E20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Joint Revenue Board Act 2025, s 41(1)(a)-(c).</w:t>
      </w:r>
    </w:p>
  </w:footnote>
  <w:footnote w:id="76">
    <w:p w14:paraId="49043F5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Finance Act 2023, ss 22-25.</w:t>
      </w:r>
    </w:p>
  </w:footnote>
  <w:footnote w:id="77">
    <w:p w14:paraId="02F4413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26.</w:t>
      </w:r>
    </w:p>
  </w:footnote>
  <w:footnote w:id="78">
    <w:p w14:paraId="3A9B531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3.</w:t>
      </w:r>
    </w:p>
  </w:footnote>
  <w:footnote w:id="79">
    <w:p w14:paraId="48404AB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4.</w:t>
      </w:r>
    </w:p>
  </w:footnote>
  <w:footnote w:id="80">
    <w:p w14:paraId="73A3B67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10.</w:t>
      </w:r>
    </w:p>
  </w:footnote>
  <w:footnote w:id="81">
    <w:p w14:paraId="22292FA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Customs Service Act 2023, s 7(1).</w:t>
      </w:r>
    </w:p>
  </w:footnote>
  <w:footnote w:id="82">
    <w:p w14:paraId="4095369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7(2)(a).</w:t>
      </w:r>
    </w:p>
  </w:footnote>
  <w:footnote w:id="83">
    <w:p w14:paraId="1602A52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7(2)(b).</w:t>
      </w:r>
    </w:p>
  </w:footnote>
  <w:footnote w:id="84">
    <w:p w14:paraId="1DD2D26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Revenue Service Act 2025, s 4.</w:t>
      </w:r>
    </w:p>
  </w:footnote>
  <w:footnote w:id="85">
    <w:p w14:paraId="4800B75F">
      <w:pPr>
        <w:pStyle w:val="7"/>
        <w:rPr>
          <w:lang w:val="en-US"/>
        </w:rPr>
      </w:pPr>
      <w:r>
        <w:rPr>
          <w:rStyle w:val="16"/>
        </w:rPr>
        <w:footnoteRef/>
      </w:r>
      <w:r>
        <w:rPr>
          <w:rFonts w:ascii="Times New Roman" w:hAnsi="Times New Roman" w:cs="Times New Roman"/>
        </w:rPr>
        <w:t xml:space="preserve"> Nigeria Revenue Service Act 2025, ss 1 and 5.</w:t>
      </w:r>
    </w:p>
  </w:footnote>
  <w:footnote w:id="86">
    <w:p w14:paraId="472EF9C1">
      <w:pPr>
        <w:pStyle w:val="7"/>
        <w:rPr>
          <w:lang w:val="en-US"/>
        </w:rPr>
      </w:pPr>
      <w:r>
        <w:rPr>
          <w:rStyle w:val="16"/>
        </w:rPr>
        <w:footnoteRef/>
      </w:r>
      <w:r>
        <w:rPr>
          <w:rFonts w:ascii="Times New Roman" w:hAnsi="Times New Roman" w:cs="Times New Roman"/>
        </w:rPr>
        <w:t xml:space="preserve"> PwC Nigeria, ‘Nigerian Tax Reform Acts’ (27 June 2025) &lt;https://www.pwc.com/ng/en/publications/the-nigerian-tax-reform-acts.html&gt; accessed 20 June 2026.</w:t>
      </w:r>
    </w:p>
  </w:footnote>
  <w:footnote w:id="87">
    <w:p w14:paraId="05EEF9B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 Adekunle and S Sulaiman, </w:t>
      </w:r>
      <w:r>
        <w:rPr>
          <w:rFonts w:ascii="Times New Roman" w:hAnsi="Times New Roman" w:cs="Times New Roman"/>
          <w:i/>
        </w:rPr>
        <w:t>Templars Transcripts: Tax Digest</w:t>
      </w:r>
      <w:r>
        <w:rPr>
          <w:rFonts w:ascii="Times New Roman" w:hAnsi="Times New Roman" w:cs="Times New Roman"/>
        </w:rPr>
        <w:t xml:space="preserve"> (Templars 2026) &lt;https://www.templars-law.com/app/uploads/2026/02/Tax-Digest-February-2026.pdf&gt; accessed 20 June 2026.</w:t>
      </w:r>
    </w:p>
  </w:footnote>
  <w:footnote w:id="88">
    <w:p w14:paraId="40C229F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Nullum tributum sine lege</w:t>
      </w:r>
      <w:r>
        <w:rPr>
          <w:rFonts w:ascii="Times New Roman" w:hAnsi="Times New Roman" w:cs="Times New Roman"/>
        </w:rPr>
        <w:t>.</w:t>
      </w:r>
    </w:p>
  </w:footnote>
  <w:footnote w:id="89">
    <w:p w14:paraId="0BC9070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Joint Revenue Board Act 2025, s 3(1).</w:t>
      </w:r>
    </w:p>
  </w:footnote>
  <w:footnote w:id="90">
    <w:p w14:paraId="24CA615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23.</w:t>
      </w:r>
    </w:p>
  </w:footnote>
  <w:footnote w:id="91">
    <w:p w14:paraId="766E5F4D">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43.</w:t>
      </w:r>
    </w:p>
  </w:footnote>
  <w:footnote w:id="92">
    <w:p w14:paraId="2196D07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(as amended), s 251.</w:t>
      </w:r>
    </w:p>
  </w:footnote>
  <w:footnote w:id="93">
    <w:p w14:paraId="2A12AA78">
      <w:pPr>
        <w:pStyle w:val="7"/>
        <w:rPr>
          <w:lang w:val="en-US"/>
        </w:rPr>
      </w:pPr>
      <w:r>
        <w:rPr>
          <w:rStyle w:val="16"/>
        </w:rPr>
        <w:footnoteRef/>
      </w:r>
      <w:r>
        <w:rPr>
          <w:rFonts w:ascii="Times New Roman" w:hAnsi="Times New Roman" w:cs="Times New Roman"/>
        </w:rPr>
        <w:t xml:space="preserve"> Joint Revenue Board Act 2025, ss 1, 3, 4 and 5.</w:t>
      </w:r>
    </w:p>
  </w:footnote>
  <w:footnote w:id="94">
    <w:p w14:paraId="3D427659">
      <w:pPr>
        <w:pStyle w:val="7"/>
        <w:rPr>
          <w:lang w:val="en-US"/>
        </w:rPr>
      </w:pPr>
      <w:r>
        <w:rPr>
          <w:rStyle w:val="16"/>
        </w:rPr>
        <w:footnoteRef/>
      </w:r>
      <w:r>
        <w:rPr>
          <w:rFonts w:ascii="Times New Roman" w:hAnsi="Times New Roman" w:cs="Times New Roman"/>
        </w:rPr>
        <w:t xml:space="preserve"> Nigerian Economic Summit Group, ‘Key Provisions of Nigeria’s 2025 Tax Reform Laws’ (3 July 2025) &lt;https://nesgroup.org/blog/A-New-Fiscal-Framework%3A-Key-Provisions-of-Nigeria%E2%80%99s-2025-Tax-Reform-Laws&gt; accessed 20 June 2026.</w:t>
      </w:r>
    </w:p>
  </w:footnote>
  <w:footnote w:id="95">
    <w:p w14:paraId="201C530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Joint Revenue Board Act 2025, s 1(b).</w:t>
      </w:r>
    </w:p>
  </w:footnote>
  <w:footnote w:id="96">
    <w:p w14:paraId="6C64748C">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(as amended), s 251.</w:t>
      </w:r>
    </w:p>
  </w:footnote>
  <w:footnote w:id="97">
    <w:p w14:paraId="3583AC32">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TSKJ Construcoes Internacional Sociedade Uniperssoal LDA v FIRS</w:t>
      </w:r>
      <w:r>
        <w:rPr>
          <w:rFonts w:ascii="Times New Roman" w:hAnsi="Times New Roman" w:cs="Times New Roman"/>
        </w:rPr>
        <w:t xml:space="preserve"> (SC/955/2017).</w:t>
      </w:r>
    </w:p>
  </w:footnote>
  <w:footnote w:id="98">
    <w:p w14:paraId="777BFC6F">
      <w:pPr>
        <w:pStyle w:val="7"/>
        <w:rPr>
          <w:lang w:val="en-US"/>
        </w:rPr>
      </w:pPr>
      <w:r>
        <w:rPr>
          <w:rStyle w:val="16"/>
        </w:rPr>
        <w:footnoteRef/>
      </w:r>
      <w:r>
        <w:rPr>
          <w:rFonts w:ascii="Times New Roman" w:hAnsi="Times New Roman" w:cs="Times New Roman"/>
        </w:rPr>
        <w:t xml:space="preserve"> Joint Revenue Board Act 2025, ss 23, 29 and 59.</w:t>
      </w:r>
    </w:p>
  </w:footnote>
  <w:footnote w:id="99">
    <w:p w14:paraId="27DE4FF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Joint Revenue Board Act 2025, s 41.</w:t>
      </w:r>
    </w:p>
  </w:footnote>
  <w:footnote w:id="100">
    <w:p w14:paraId="6BDC9F74">
      <w:pPr>
        <w:pStyle w:val="7"/>
        <w:rPr>
          <w:lang w:val="en-US"/>
        </w:rPr>
      </w:pPr>
      <w:r>
        <w:rPr>
          <w:rStyle w:val="16"/>
        </w:rPr>
        <w:footnoteRef/>
      </w:r>
      <w:r>
        <w:rPr>
          <w:rFonts w:ascii="Times New Roman" w:hAnsi="Times New Roman" w:cs="Times New Roman"/>
        </w:rPr>
        <w:t xml:space="preserve"> R N Azubuike, H C Anorue, O D Adeleye and E A Ekanem, ‘Tax Admin in Nigeria: A SLR’ [2024] (8) (9) </w:t>
      </w:r>
      <w:r>
        <w:rPr>
          <w:rFonts w:ascii="Times New Roman" w:hAnsi="Times New Roman" w:cs="Times New Roman"/>
          <w:i/>
        </w:rPr>
        <w:t>IJEBMR</w:t>
      </w:r>
      <w:r>
        <w:rPr>
          <w:rFonts w:ascii="Times New Roman" w:hAnsi="Times New Roman" w:cs="Times New Roman"/>
        </w:rPr>
        <w:t xml:space="preserve"> 303-313 &lt;https://doi.org/10.51505/IJEBMR.2024.8918&gt; accessed 20 June 2026.</w:t>
      </w:r>
    </w:p>
  </w:footnote>
  <w:footnote w:id="101">
    <w:p w14:paraId="043C6CD3">
      <w:pPr>
        <w:pStyle w:val="7"/>
        <w:rPr>
          <w:lang w:val="en-US"/>
        </w:rPr>
      </w:pPr>
      <w:r>
        <w:rPr>
          <w:rStyle w:val="16"/>
        </w:rPr>
        <w:footnoteRef/>
      </w:r>
      <w:r>
        <w:rPr>
          <w:rFonts w:ascii="Times New Roman" w:hAnsi="Times New Roman" w:cs="Times New Roman"/>
        </w:rPr>
        <w:t xml:space="preserve"> Azubuike and others (n 101).</w:t>
      </w:r>
    </w:p>
  </w:footnote>
  <w:footnote w:id="102">
    <w:p w14:paraId="136862C7">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Harassment, arbitrary estimates and informal ‘settlement pressure’.</w:t>
      </w:r>
    </w:p>
  </w:footnote>
  <w:footnote w:id="103">
    <w:p w14:paraId="109939B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Adekunle and Sulaiman (n 88).</w:t>
      </w:r>
    </w:p>
  </w:footnote>
  <w:footnote w:id="104">
    <w:p w14:paraId="08798785">
      <w:pPr>
        <w:pStyle w:val="7"/>
        <w:rPr>
          <w:lang w:val="en-US"/>
        </w:rPr>
      </w:pPr>
      <w:r>
        <w:rPr>
          <w:rStyle w:val="16"/>
        </w:rPr>
        <w:footnoteRef/>
      </w:r>
      <w:r>
        <w:rPr>
          <w:rFonts w:ascii="Times New Roman" w:hAnsi="Times New Roman" w:cs="Times New Roman"/>
        </w:rPr>
        <w:t xml:space="preserve"> Joint Revenue Board Act 2025, ss 36, 41 and 49.</w:t>
      </w:r>
    </w:p>
  </w:footnote>
  <w:footnote w:id="105">
    <w:p w14:paraId="1AB8032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CFRN 1999 (as amended), s 7(5).</w:t>
      </w:r>
    </w:p>
  </w:footnote>
  <w:footnote w:id="106">
    <w:p w14:paraId="3479A79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Customs Service Act 2023, s 4.</w:t>
      </w:r>
    </w:p>
  </w:footnote>
  <w:footnote w:id="107">
    <w:p w14:paraId="79E583E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2(a)-(b).</w:t>
      </w:r>
    </w:p>
  </w:footnote>
  <w:footnote w:id="108">
    <w:p w14:paraId="0B397F6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7.</w:t>
      </w:r>
    </w:p>
  </w:footnote>
  <w:footnote w:id="109">
    <w:p w14:paraId="411B769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7(2)(a).</w:t>
      </w:r>
    </w:p>
  </w:footnote>
  <w:footnote w:id="110">
    <w:p w14:paraId="50494CD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7(2)(b).</w:t>
      </w:r>
    </w:p>
  </w:footnote>
  <w:footnote w:id="111">
    <w:p w14:paraId="2BF1F1A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Vodacom Business Nigeria Ltd v FIRS</w:t>
      </w:r>
      <w:r>
        <w:rPr>
          <w:rFonts w:ascii="Times New Roman" w:hAnsi="Times New Roman" w:cs="Times New Roman"/>
        </w:rPr>
        <w:t xml:space="preserve"> Appeal No CA/L/556/2018.</w:t>
      </w:r>
    </w:p>
  </w:footnote>
  <w:footnote w:id="112">
    <w:p w14:paraId="5EB718D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State House, ‘Tinubu Receives Quick Win Report on Fiscal Policy and Tax Reforms’ &lt;https://statehouse.gov.ng/president-tinubu-receives-quick-win-report-on-fiscal-policy-and-tax-reforms/&gt; accessed 20 June 2026.</w:t>
      </w:r>
    </w:p>
  </w:footnote>
  <w:footnote w:id="113">
    <w:p w14:paraId="117C46F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Adekunle and Sulaiman (n 88).</w:t>
      </w:r>
    </w:p>
  </w:footnote>
  <w:footnote w:id="114">
    <w:p w14:paraId="63ACD34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Regulations, rulings, ongoing audits and pending assessments.</w:t>
      </w:r>
    </w:p>
  </w:footnote>
  <w:footnote w:id="115">
    <w:p w14:paraId="0C1C4DA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 examples include alleged asset seizure without court order and mandatory deposits before dispute hearing.</w:t>
      </w:r>
    </w:p>
  </w:footnote>
  <w:footnote w:id="116">
    <w:p w14:paraId="2C2CFF1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Ogun State v Aberuagba</w:t>
      </w:r>
      <w:r>
        <w:rPr>
          <w:rFonts w:ascii="Times New Roman" w:hAnsi="Times New Roman" w:cs="Times New Roman"/>
        </w:rPr>
        <w:t xml:space="preserve"> [1985] Legalpedia (SC) 78521.</w:t>
      </w:r>
    </w:p>
  </w:footnote>
  <w:footnote w:id="117">
    <w:p w14:paraId="6396D15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Lagos State v Eko Hotels Ltd and anor</w:t>
      </w:r>
      <w:r>
        <w:rPr>
          <w:rFonts w:ascii="Times New Roman" w:hAnsi="Times New Roman" w:cs="Times New Roman"/>
        </w:rPr>
        <w:t xml:space="preserve"> [2017] LPELR-43713(SC).</w:t>
      </w:r>
    </w:p>
  </w:footnote>
  <w:footnote w:id="118">
    <w:p w14:paraId="58DAB15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B Aduloju, ‘Items Exempted from VAT in New Tax Law’ </w:t>
      </w:r>
      <w:r>
        <w:rPr>
          <w:rFonts w:ascii="Times New Roman" w:hAnsi="Times New Roman" w:cs="Times New Roman"/>
          <w:i/>
        </w:rPr>
        <w:t>TheCable</w:t>
      </w:r>
      <w:r>
        <w:rPr>
          <w:rFonts w:ascii="Times New Roman" w:hAnsi="Times New Roman" w:cs="Times New Roman"/>
        </w:rPr>
        <w:t xml:space="preserve"> (12 March 2026) &lt;https://www.thecable.ng/full-list-sanitary-pads-products-energy-exports-land-items-exempted-from-vat-in-new-tax-law/&gt; accessed 20 June 2026.</w:t>
      </w:r>
    </w:p>
  </w:footnote>
  <w:footnote w:id="119">
    <w:p w14:paraId="57D7D88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The question is what qualifies for exemption.</w:t>
      </w:r>
    </w:p>
  </w:footnote>
  <w:footnote w:id="120">
    <w:p w14:paraId="52C8029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Vodacom Business Nigeria Ltd v FIRS</w:t>
      </w:r>
      <w:r>
        <w:rPr>
          <w:rFonts w:ascii="Times New Roman" w:hAnsi="Times New Roman" w:cs="Times New Roman"/>
        </w:rPr>
        <w:t xml:space="preserve"> Appeal No CA/L/556/2018.</w:t>
      </w:r>
    </w:p>
  </w:footnote>
  <w:footnote w:id="121">
    <w:p w14:paraId="3CF8407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Act 2025, s 58 and Fourth Schedule.</w:t>
      </w:r>
    </w:p>
  </w:footnote>
  <w:footnote w:id="122">
    <w:p w14:paraId="6398580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34(1)(a).</w:t>
      </w:r>
    </w:p>
  </w:footnote>
  <w:footnote w:id="123">
    <w:p w14:paraId="46BA6D6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and Bala-Gbogbo (n 31).</w:t>
      </w:r>
    </w:p>
  </w:footnote>
  <w:footnote w:id="124">
    <w:p w14:paraId="270DF56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Revenue Service Act 2025, s 40(1).</w:t>
      </w:r>
    </w:p>
  </w:footnote>
  <w:footnote w:id="125">
    <w:p w14:paraId="7F8CD5E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4.</w:t>
      </w:r>
    </w:p>
  </w:footnote>
  <w:footnote w:id="126">
    <w:p w14:paraId="50B687E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TSKJ Construcoes Internacional Sociedade Uniperssoal LDA v FIRS</w:t>
      </w:r>
      <w:r>
        <w:rPr>
          <w:rFonts w:ascii="Times New Roman" w:hAnsi="Times New Roman" w:cs="Times New Roman"/>
        </w:rPr>
        <w:t xml:space="preserve"> (SC/955/2017).</w:t>
      </w:r>
    </w:p>
  </w:footnote>
  <w:footnote w:id="127">
    <w:p w14:paraId="4E1DE27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Nigeria Tax Administration Act 2025, s 4.</w:t>
      </w:r>
    </w:p>
  </w:footnote>
  <w:footnote w:id="128">
    <w:p w14:paraId="0DE2844D">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 5.</w:t>
      </w:r>
    </w:p>
  </w:footnote>
  <w:footnote w:id="129">
    <w:p w14:paraId="037C47B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 ss 65(2) and 49(7).</w:t>
      </w:r>
    </w:p>
  </w:footnote>
  <w:footnote w:id="130">
    <w:p w14:paraId="249CD59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This includes digital reporting and fiscalisation.</w:t>
      </w:r>
    </w:p>
  </w:footnote>
  <w:footnote w:id="131">
    <w:p w14:paraId="6CF406BC">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w:t>
      </w:r>
    </w:p>
  </w:footnote>
  <w:footnote w:id="132">
    <w:p w14:paraId="71BF3E5C">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‘National E-Invoicing Regime for Large Taxpayers’ </w:t>
      </w:r>
      <w:r>
        <w:rPr>
          <w:rFonts w:ascii="Times New Roman" w:hAnsi="Times New Roman" w:cs="Times New Roman"/>
          <w:i/>
        </w:rPr>
        <w:t>KPMG</w:t>
      </w:r>
      <w:r>
        <w:rPr>
          <w:rFonts w:ascii="Times New Roman" w:hAnsi="Times New Roman" w:cs="Times New Roman"/>
        </w:rPr>
        <w:t xml:space="preserve"> (July 2025) &lt;https://kpmg.com/ng/en/home/insights/2025/07/introduction-of-national-e-invoicing-regime-for-large-taxpayers.html&gt; accessed 20 June 2026.</w:t>
      </w:r>
    </w:p>
  </w:footnote>
  <w:footnote w:id="133">
    <w:p w14:paraId="2C8F568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NITDA, </w:t>
      </w:r>
      <w:r>
        <w:rPr>
          <w:rFonts w:ascii="Times New Roman" w:hAnsi="Times New Roman" w:cs="Times New Roman"/>
          <w:i/>
        </w:rPr>
        <w:t>National Regulatory Guideline for Electronic Invoicing in Nigeria 2025</w:t>
      </w:r>
      <w:r>
        <w:rPr>
          <w:rFonts w:ascii="Times New Roman" w:hAnsi="Times New Roman" w:cs="Times New Roman"/>
        </w:rPr>
        <w:t xml:space="preserve"> (NITDA 2025) &lt;https://nitda.gov.ng/wp-content/uploads/2025/08/NATIONAL-REGULATORY-GUIDELINE-FOR-ELECTRONIC-INVOICING-IN-NIGERIA-2025.pdf&gt; accessed 20 June 2026.</w:t>
      </w:r>
    </w:p>
  </w:footnote>
  <w:footnote w:id="134">
    <w:p w14:paraId="633F025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Where digital systems fail, taxpayers should not be punished for technical incapacity; otherwise e-invoicing becomes a coercive trap rather than a compliance tool.</w:t>
      </w:r>
    </w:p>
  </w:footnote>
  <w:footnote w:id="135">
    <w:p w14:paraId="4E6459C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Reuters, ‘Nigeria to Impose 10% WHT on Interest on Short-Term Securities’ (28 October 2025) &lt;https://www.reuters.com/world/africa/nigeria-impose-10-withholding-tax-interest-short-term-securities-2025-10-28/&gt; accessed 20 June 2026.</w:t>
      </w:r>
    </w:p>
  </w:footnote>
  <w:footnote w:id="136">
    <w:p w14:paraId="2D65B24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w:t>
      </w:r>
    </w:p>
  </w:footnote>
  <w:footnote w:id="137">
    <w:p w14:paraId="7E00C34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 Bala-Gbogbo, ‘Nigeria Enters Consolidation Phase after Two Years of Reforms’ </w:t>
      </w:r>
      <w:r>
        <w:rPr>
          <w:rFonts w:ascii="Times New Roman" w:hAnsi="Times New Roman" w:cs="Times New Roman"/>
          <w:i/>
        </w:rPr>
        <w:t>Reuters</w:t>
      </w:r>
      <w:r>
        <w:rPr>
          <w:rFonts w:ascii="Times New Roman" w:hAnsi="Times New Roman" w:cs="Times New Roman"/>
        </w:rPr>
        <w:t xml:space="preserve"> (15 January 2026) &lt;https://www.reuters.com/world/africa/nigeria-enters-consolidation-phase-after-two-years-reforms-says-finance-chief-2026-01-15/&gt; accessed 20 June 2026.</w:t>
      </w:r>
    </w:p>
  </w:footnote>
  <w:footnote w:id="138">
    <w:p w14:paraId="2A16727A">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Especially unified administration rules and e-invoicing for large taxpayers.</w:t>
      </w:r>
    </w:p>
  </w:footnote>
  <w:footnote w:id="139">
    <w:p w14:paraId="6C074D7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133).</w:t>
      </w:r>
    </w:p>
  </w:footnote>
  <w:footnote w:id="140">
    <w:p w14:paraId="264518D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Ibid.</w:t>
      </w:r>
    </w:p>
  </w:footnote>
  <w:footnote w:id="141">
    <w:p w14:paraId="1E6A634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Aduloju (n 119).</w:t>
      </w:r>
    </w:p>
  </w:footnote>
  <w:footnote w:id="142">
    <w:p w14:paraId="0887C88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CBN, ‘Inflation Rate’ &lt;https://www.cbn.gov.ng/rates/inflrates.html&gt; accessed 20 June 2026.</w:t>
      </w:r>
    </w:p>
  </w:footnote>
  <w:footnote w:id="143">
    <w:p w14:paraId="0706553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133).</w:t>
      </w:r>
    </w:p>
  </w:footnote>
  <w:footnote w:id="144">
    <w:p w14:paraId="24FE795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TSKJ Construcoes Internacional Sociedade Uniperssoal LDA v FIRS</w:t>
      </w:r>
      <w:r>
        <w:rPr>
          <w:rFonts w:ascii="Times New Roman" w:hAnsi="Times New Roman" w:cs="Times New Roman"/>
        </w:rPr>
        <w:t xml:space="preserve"> (n 127).</w:t>
      </w:r>
    </w:p>
  </w:footnote>
  <w:footnote w:id="145">
    <w:p w14:paraId="7E17219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 Ajayi, ‘National E-Invoicing Regime for Large Taxpayers’ </w:t>
      </w:r>
      <w:r>
        <w:rPr>
          <w:rFonts w:ascii="Times New Roman" w:hAnsi="Times New Roman" w:cs="Times New Roman"/>
          <w:i/>
        </w:rPr>
        <w:t>KPMG</w:t>
      </w:r>
      <w:r>
        <w:rPr>
          <w:rFonts w:ascii="Times New Roman" w:hAnsi="Times New Roman" w:cs="Times New Roman"/>
        </w:rPr>
        <w:t xml:space="preserve"> (July 2025) &lt;https://assets.kpmg.com/content/dam/kpmg/ng/pdf/2025/07/Introduction%20of%20National%20E-Invoicing%20Regime%20for%20Large%20Taxpayers.pdf&gt; accessed 20 June 2026.</w:t>
      </w:r>
    </w:p>
  </w:footnote>
  <w:footnote w:id="146">
    <w:p w14:paraId="36FDE4A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133).</w:t>
      </w:r>
    </w:p>
  </w:footnote>
  <w:footnote w:id="147">
    <w:p w14:paraId="4A6A53E0">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Aduloju (n 119).</w:t>
      </w:r>
    </w:p>
  </w:footnote>
  <w:footnote w:id="148">
    <w:p w14:paraId="0A844199">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Salus populi suprema lex</w:t>
      </w:r>
      <w:r>
        <w:rPr>
          <w:rFonts w:ascii="Times New Roman" w:hAnsi="Times New Roman" w:cs="Times New Roman"/>
        </w:rPr>
        <w:t xml:space="preserve"> (the welfare of the people is the supreme law).</w:t>
      </w:r>
    </w:p>
  </w:footnote>
  <w:footnote w:id="149">
    <w:p w14:paraId="05FD4791">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A Achirga and S Sanni, ‘Hard Times in Nigeria as Reforms Deepen Cost of Living Crisis’ </w:t>
      </w:r>
      <w:r>
        <w:rPr>
          <w:rFonts w:ascii="Times New Roman" w:hAnsi="Times New Roman" w:cs="Times New Roman"/>
          <w:i/>
        </w:rPr>
        <w:t>Reuters</w:t>
      </w:r>
      <w:r>
        <w:rPr>
          <w:rFonts w:ascii="Times New Roman" w:hAnsi="Times New Roman" w:cs="Times New Roman"/>
        </w:rPr>
        <w:t xml:space="preserve"> (11 March 2024) &lt;https://www.reuters.com/world/africa/hard-times-nigeria-reforms-deepen-cost-living-crisis-2024-03-11/&gt; accessed 20 June 2026.</w:t>
      </w:r>
    </w:p>
  </w:footnote>
  <w:footnote w:id="150">
    <w:p w14:paraId="71854483">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 Bala-Gbogbo, ‘Nigeria’s Economy Grows Strongly amid High Inflation’ </w:t>
      </w:r>
      <w:r>
        <w:rPr>
          <w:rFonts w:ascii="Times New Roman" w:hAnsi="Times New Roman" w:cs="Times New Roman"/>
          <w:i/>
        </w:rPr>
        <w:t>Reuters</w:t>
      </w:r>
      <w:r>
        <w:rPr>
          <w:rFonts w:ascii="Times New Roman" w:hAnsi="Times New Roman" w:cs="Times New Roman"/>
        </w:rPr>
        <w:t xml:space="preserve"> (12 May 2025) &lt;https://www.reuters.com/world/africa/nigerias-economy-grows-strongly-amid-high-inflation-world-bank-says-2025-05-12/&gt; accessed 20 June 2026.</w:t>
      </w:r>
    </w:p>
  </w:footnote>
  <w:footnote w:id="151">
    <w:p w14:paraId="53403A3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I Anyaogu, ‘Nigeria Cuts Electricity Subsidies by 35% after Tariff Hike’ </w:t>
      </w:r>
      <w:r>
        <w:rPr>
          <w:rFonts w:ascii="Times New Roman" w:hAnsi="Times New Roman" w:cs="Times New Roman"/>
          <w:i/>
        </w:rPr>
        <w:t>Reuters</w:t>
      </w:r>
      <w:r>
        <w:rPr>
          <w:rFonts w:ascii="Times New Roman" w:hAnsi="Times New Roman" w:cs="Times New Roman"/>
        </w:rPr>
        <w:t xml:space="preserve"> (17 April 2025) &lt;https://www.reuters.com/world/africa/nigeria-cuts-electricity-subsidies-by-35-after-tariff-hike-2025-04-17/&gt; accessed 20 June 2026.</w:t>
      </w:r>
    </w:p>
  </w:footnote>
  <w:footnote w:id="152">
    <w:p w14:paraId="1576F1B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This is often a channel for corruption.</w:t>
      </w:r>
    </w:p>
  </w:footnote>
  <w:footnote w:id="153">
    <w:p w14:paraId="2166EEA8">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133).</w:t>
      </w:r>
    </w:p>
  </w:footnote>
  <w:footnote w:id="154">
    <w:p w14:paraId="7FEC6BF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‘National E-Invoicing Regime for Large Taxpayers’ </w:t>
      </w:r>
      <w:r>
        <w:rPr>
          <w:rFonts w:ascii="Times New Roman" w:hAnsi="Times New Roman" w:cs="Times New Roman"/>
          <w:i/>
        </w:rPr>
        <w:t>KPMG TaxNewsFlash</w:t>
      </w:r>
      <w:r>
        <w:rPr>
          <w:rFonts w:ascii="Times New Roman" w:hAnsi="Times New Roman" w:cs="Times New Roman"/>
        </w:rPr>
        <w:t xml:space="preserve"> (July 2025) &lt;https://kpmg.com/us/en/taxnewsflash/news/2025/07/nigeria-national-e-invoicing-regime-large-taxpayers.html&gt; accessed 20 June 2026.</w:t>
      </w:r>
    </w:p>
  </w:footnote>
  <w:footnote w:id="155">
    <w:p w14:paraId="4AB0678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PwC Nigeria, </w:t>
      </w:r>
      <w:r>
        <w:rPr>
          <w:rFonts w:ascii="Times New Roman" w:hAnsi="Times New Roman" w:cs="Times New Roman"/>
          <w:i/>
        </w:rPr>
        <w:t>Nigerian Tax Reforms 2025</w:t>
      </w:r>
      <w:r>
        <w:rPr>
          <w:rFonts w:ascii="Times New Roman" w:hAnsi="Times New Roman" w:cs="Times New Roman"/>
        </w:rPr>
        <w:t xml:space="preserve"> &lt;https://www.pwc.com/ng/en/assets/pdf/nigeria-tax-reform-insight-series-sectoral-analysis.pdf&gt; accessed 20 June 2026.</w:t>
      </w:r>
    </w:p>
  </w:footnote>
  <w:footnote w:id="156">
    <w:p w14:paraId="7E0CCDCD">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A-G Lagos State v Eko Hotels Ltd and anor</w:t>
      </w:r>
      <w:r>
        <w:rPr>
          <w:rFonts w:ascii="Times New Roman" w:hAnsi="Times New Roman" w:cs="Times New Roman"/>
        </w:rPr>
        <w:t xml:space="preserve"> (2017) LPELR-43713(SC).</w:t>
      </w:r>
    </w:p>
  </w:footnote>
  <w:footnote w:id="157">
    <w:p w14:paraId="609FAF8D">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w:t>
      </w:r>
    </w:p>
  </w:footnote>
  <w:footnote w:id="158">
    <w:p w14:paraId="296FA1B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Exactly what the reforms claim to cure.</w:t>
      </w:r>
    </w:p>
  </w:footnote>
  <w:footnote w:id="159">
    <w:p w14:paraId="1960906C">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Vodacom Business Nigeria Ltd v FIRS</w:t>
      </w:r>
      <w:r>
        <w:rPr>
          <w:rFonts w:ascii="Times New Roman" w:hAnsi="Times New Roman" w:cs="Times New Roman"/>
        </w:rPr>
        <w:t xml:space="preserve"> Appeal No CA/L/556/2018.</w:t>
      </w:r>
    </w:p>
  </w:footnote>
  <w:footnote w:id="160">
    <w:p w14:paraId="6ECDA48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 Adeoye and M Oyelami, ‘Nigeria’s 2025 Tax Reform Acts Explained’ </w:t>
      </w:r>
      <w:r>
        <w:rPr>
          <w:rFonts w:ascii="Times New Roman" w:hAnsi="Times New Roman" w:cs="Times New Roman"/>
          <w:i/>
        </w:rPr>
        <w:t>Baker Tilly Nigeria</w:t>
      </w:r>
      <w:r>
        <w:rPr>
          <w:rFonts w:ascii="Times New Roman" w:hAnsi="Times New Roman" w:cs="Times New Roman"/>
        </w:rPr>
        <w:t xml:space="preserve"> &lt;https://www.bakertilly.ng/insights/nigerias-2025-tax-reform-acts-explained&gt; accessed 20 June 2026.</w:t>
      </w:r>
    </w:p>
  </w:footnote>
  <w:footnote w:id="161">
    <w:p w14:paraId="4D82FD6E">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Reuters, ‘Nigeria Suspends FOB Levy on Imports after Industry Backlash’ (16 September 2025) &lt;https://www.reuters.com/world/africa/nigeria-suspends-fob-levy-imports-after-industry-backlash-2025-09-16/&gt; accessed 20 June 2026.</w:t>
      </w:r>
    </w:p>
  </w:footnote>
  <w:footnote w:id="162">
    <w:p w14:paraId="5A2BD86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(n 133).</w:t>
      </w:r>
    </w:p>
  </w:footnote>
  <w:footnote w:id="163">
    <w:p w14:paraId="66A9FC9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KPMG Nigeria, ‘Extension of Deadline for E-Invoicing Compliance’ (August 2025) &lt;https://kpmg.com/ng/en/home/insights/2025/08/extension-of-deadline-for-e-invoicing-compliance-for-large-taxpayers.html&gt; accessed 20 June 2026.</w:t>
      </w:r>
    </w:p>
  </w:footnote>
  <w:footnote w:id="164">
    <w:p w14:paraId="465302A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This includes seizure of assets without court orders and mandatory deposits before disputes.</w:t>
      </w:r>
    </w:p>
  </w:footnote>
  <w:footnote w:id="165">
    <w:p w14:paraId="182AB9B5">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Eboh (n 34).</w:t>
      </w:r>
    </w:p>
  </w:footnote>
  <w:footnote w:id="166">
    <w:p w14:paraId="0BA6D0E4">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 Agbo, ‘Court Refuses to Stop Implementation of New Tax Laws’ </w:t>
      </w:r>
      <w:r>
        <w:rPr>
          <w:rFonts w:ascii="Times New Roman" w:hAnsi="Times New Roman" w:cs="Times New Roman"/>
          <w:i/>
        </w:rPr>
        <w:t>Premium Times</w:t>
      </w:r>
      <w:r>
        <w:rPr>
          <w:rFonts w:ascii="Times New Roman" w:hAnsi="Times New Roman" w:cs="Times New Roman"/>
        </w:rPr>
        <w:t xml:space="preserve"> &lt;https://www.premiumtimesng.com/news/top-news/846967-court-refuses-to-stop-implementation-of-new-tax-laws.html&gt; accessed 20 June 2026.</w:t>
      </w:r>
    </w:p>
  </w:footnote>
  <w:footnote w:id="167">
    <w:p w14:paraId="592FEDFF">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Ponticelli Upstream v Federal Inland Revenue Service</w:t>
      </w:r>
      <w:r>
        <w:rPr>
          <w:rFonts w:ascii="Times New Roman" w:hAnsi="Times New Roman" w:cs="Times New Roman"/>
        </w:rPr>
        <w:t xml:space="preserve"> (unreported, Appeal No TAT/LZ/CIT/029/2017).</w:t>
      </w:r>
    </w:p>
  </w:footnote>
  <w:footnote w:id="168">
    <w:p w14:paraId="36AB771B">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Banwo &amp; Ighodalo, ‘Unconstitutional to Finalise Tax Assessment Where Taxpayer is Denied Right to Object’ &lt;https://www.banwo-ighodalo.com/grey-matter/it-is-unconstitutional-to-finalize-a-tax-assessment-where-the-taxpayer-is-denied-the-statutory-right-to-object-tax-appeal-tribunal-holds/&gt; accessed 20 June 2026.</w:t>
      </w:r>
    </w:p>
  </w:footnote>
  <w:footnote w:id="169">
    <w:p w14:paraId="5B5E0236">
      <w:pPr>
        <w:pStyle w:val="7"/>
        <w:rPr>
          <w:rFonts w:ascii="Times New Roman" w:hAnsi="Times New Roman" w:cs="Times New Roman"/>
          <w:lang w:val="en-US"/>
        </w:rPr>
      </w:pPr>
      <w:r>
        <w:rPr>
          <w:rStyle w:val="16"/>
          <w:rFonts w:ascii="Times New Roman" w:hAnsi="Times New Roman" w:cs="Times New Roman"/>
        </w:rPr>
        <w:footnoteRef/>
      </w:r>
      <w:r>
        <w:rPr>
          <w:rFonts w:ascii="Times New Roman" w:hAnsi="Times New Roman" w:cs="Times New Roman"/>
        </w:rPr>
        <w:t xml:space="preserve"> Especially those relating to e-invoicing, digital reporting and recalibrated VAT compliance.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C32EB">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C6F20">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4134"/>
    <w:multiLevelType w:val="multilevel"/>
    <w:tmpl w:val="07B1413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24352E4"/>
    <w:multiLevelType w:val="multilevel"/>
    <w:tmpl w:val="124352E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F2C05DA"/>
    <w:multiLevelType w:val="multilevel"/>
    <w:tmpl w:val="1F2C05D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6FA71DB"/>
    <w:multiLevelType w:val="multilevel"/>
    <w:tmpl w:val="26FA71D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72E470A"/>
    <w:multiLevelType w:val="multilevel"/>
    <w:tmpl w:val="272E470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1F838DE"/>
    <w:multiLevelType w:val="multilevel"/>
    <w:tmpl w:val="31F838DE"/>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28228E3"/>
    <w:multiLevelType w:val="multilevel"/>
    <w:tmpl w:val="428228E3"/>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FCE4F09"/>
    <w:multiLevelType w:val="multilevel"/>
    <w:tmpl w:val="4FCE4F09"/>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0FB747F"/>
    <w:multiLevelType w:val="multilevel"/>
    <w:tmpl w:val="50FB747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3A84E14"/>
    <w:multiLevelType w:val="multilevel"/>
    <w:tmpl w:val="73A84E1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3"/>
  </w:num>
  <w:num w:numId="3">
    <w:abstractNumId w:val="8"/>
  </w:num>
  <w:num w:numId="4">
    <w:abstractNumId w:val="4"/>
  </w:num>
  <w:num w:numId="5">
    <w:abstractNumId w:val="7"/>
  </w:num>
  <w:num w:numId="6">
    <w:abstractNumId w:val="5"/>
  </w:num>
  <w:num w:numId="7">
    <w:abstractNumId w:val="0"/>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BreakWrappedTables/>
    <w:doNotWrapTextWithPunct/>
    <w:doNotUseEastAsianBreakRules/>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paragraph" w:styleId="2">
    <w:name w:val="heading 1"/>
    <w:basedOn w:val="1"/>
    <w:next w:val="1"/>
    <w:link w:val="20"/>
    <w:qFormat/>
    <w:uiPriority w:val="9"/>
    <w:pPr>
      <w:spacing w:line="480" w:lineRule="auto"/>
      <w:jc w:val="center"/>
      <w:outlineLvl w:val="0"/>
    </w:pPr>
    <w:rPr>
      <w:rFonts w:ascii="Times New Roman" w:hAnsi="Times New Roman" w:eastAsia="Times New Roman" w:cs="Times New Roman"/>
      <w:b/>
      <w:bCs/>
      <w:sz w:val="24"/>
      <w:szCs w:val="24"/>
    </w:rPr>
  </w:style>
  <w:style w:type="paragraph" w:styleId="3">
    <w:name w:val="heading 2"/>
    <w:basedOn w:val="1"/>
    <w:next w:val="1"/>
    <w:link w:val="21"/>
    <w:qFormat/>
    <w:uiPriority w:val="9"/>
    <w:pPr>
      <w:spacing w:line="480" w:lineRule="auto"/>
      <w:jc w:val="both"/>
      <w:outlineLvl w:val="1"/>
    </w:pPr>
    <w:rPr>
      <w:rFonts w:ascii="Times New Roman" w:hAnsi="Times New Roman" w:eastAsia="Times New Roman" w:cs="Times New Roman"/>
      <w:b/>
      <w:bCs/>
      <w:sz w:val="24"/>
      <w:szCs w:val="24"/>
    </w:rPr>
  </w:style>
  <w:style w:type="paragraph" w:styleId="4">
    <w:name w:val="heading 3"/>
    <w:basedOn w:val="1"/>
    <w:next w:val="1"/>
    <w:link w:val="22"/>
    <w:qFormat/>
    <w:uiPriority w:val="9"/>
    <w:pPr>
      <w:spacing w:line="480" w:lineRule="auto"/>
      <w:jc w:val="both"/>
      <w:outlineLvl w:val="2"/>
    </w:pPr>
    <w:rPr>
      <w:rFonts w:ascii="Times New Roman" w:hAnsi="Times New Roman" w:eastAsia="Times New Roman" w:cs="Times New Roman"/>
      <w:b/>
      <w:bCs/>
      <w:sz w:val="24"/>
      <w:szCs w:val="24"/>
    </w:rPr>
  </w:style>
  <w:style w:type="character" w:default="1" w:styleId="13">
    <w:name w:val="Default Paragraph Font"/>
    <w:unhideWhenUsed/>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30"/>
    <w:unhideWhenUsed/>
    <w:uiPriority w:val="99"/>
    <w:pPr>
      <w:spacing w:after="0" w:line="240" w:lineRule="auto"/>
    </w:pPr>
    <w:rPr>
      <w:rFonts w:ascii="Tahoma" w:hAnsi="Tahoma" w:cs="Tahoma"/>
      <w:sz w:val="16"/>
      <w:szCs w:val="16"/>
    </w:rPr>
  </w:style>
  <w:style w:type="paragraph" w:styleId="6">
    <w:name w:val="footer"/>
    <w:basedOn w:val="1"/>
    <w:link w:val="26"/>
    <w:unhideWhenUsed/>
    <w:uiPriority w:val="99"/>
    <w:pPr>
      <w:tabs>
        <w:tab w:val="center" w:pos="4680"/>
        <w:tab w:val="right" w:pos="9360"/>
      </w:tabs>
      <w:spacing w:after="0" w:line="240" w:lineRule="auto"/>
    </w:pPr>
  </w:style>
  <w:style w:type="paragraph" w:styleId="7">
    <w:name w:val="footnote text"/>
    <w:basedOn w:val="1"/>
    <w:link w:val="24"/>
    <w:unhideWhenUsed/>
    <w:uiPriority w:val="99"/>
    <w:pPr>
      <w:spacing w:after="0" w:line="240" w:lineRule="auto"/>
    </w:pPr>
    <w:rPr>
      <w:sz w:val="20"/>
      <w:szCs w:val="20"/>
    </w:rPr>
  </w:style>
  <w:style w:type="paragraph" w:styleId="8">
    <w:name w:val="header"/>
    <w:basedOn w:val="1"/>
    <w:link w:val="25"/>
    <w:unhideWhenUsed/>
    <w:uiPriority w:val="99"/>
    <w:pPr>
      <w:tabs>
        <w:tab w:val="center" w:pos="4680"/>
        <w:tab w:val="right" w:pos="9360"/>
      </w:tabs>
      <w:spacing w:after="0" w:line="240" w:lineRule="auto"/>
    </w:pPr>
  </w:style>
  <w:style w:type="paragraph" w:styleId="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10">
    <w:name w:val="toc 1"/>
    <w:basedOn w:val="1"/>
    <w:next w:val="1"/>
    <w:unhideWhenUsed/>
    <w:uiPriority w:val="39"/>
    <w:pPr>
      <w:spacing w:after="100"/>
    </w:pPr>
  </w:style>
  <w:style w:type="paragraph" w:styleId="11">
    <w:name w:val="toc 2"/>
    <w:basedOn w:val="1"/>
    <w:next w:val="1"/>
    <w:unhideWhenUsed/>
    <w:uiPriority w:val="39"/>
    <w:pPr>
      <w:spacing w:after="100"/>
      <w:ind w:left="220"/>
    </w:pPr>
  </w:style>
  <w:style w:type="paragraph" w:styleId="12">
    <w:name w:val="toc 3"/>
    <w:basedOn w:val="1"/>
    <w:next w:val="1"/>
    <w:unhideWhenUsed/>
    <w:uiPriority w:val="39"/>
    <w:pPr>
      <w:spacing w:after="100"/>
      <w:ind w:left="440"/>
    </w:pPr>
  </w:style>
  <w:style w:type="character" w:styleId="14">
    <w:name w:val="Emphasis"/>
    <w:basedOn w:val="13"/>
    <w:qFormat/>
    <w:uiPriority w:val="20"/>
    <w:rPr>
      <w:i/>
      <w:iCs/>
    </w:rPr>
  </w:style>
  <w:style w:type="character" w:styleId="15">
    <w:name w:val="FollowedHyperlink"/>
    <w:basedOn w:val="13"/>
    <w:unhideWhenUsed/>
    <w:uiPriority w:val="99"/>
    <w:rPr>
      <w:color w:val="800080" w:themeColor="followedHyperlink"/>
      <w:u w:val="single"/>
    </w:rPr>
  </w:style>
  <w:style w:type="character" w:styleId="16">
    <w:name w:val="footnote reference"/>
    <w:basedOn w:val="13"/>
    <w:unhideWhenUsed/>
    <w:uiPriority w:val="99"/>
    <w:rPr>
      <w:vertAlign w:val="superscript"/>
    </w:rPr>
  </w:style>
  <w:style w:type="character" w:styleId="17">
    <w:name w:val="Hyperlink"/>
    <w:basedOn w:val="13"/>
    <w:unhideWhenUsed/>
    <w:uiPriority w:val="99"/>
    <w:rPr>
      <w:color w:val="0000FF" w:themeColor="hyperlink"/>
      <w:u w:val="single"/>
    </w:rPr>
  </w:style>
  <w:style w:type="character" w:styleId="18">
    <w:name w:val="Strong"/>
    <w:basedOn w:val="13"/>
    <w:qFormat/>
    <w:uiPriority w:val="22"/>
    <w:rPr>
      <w:b/>
      <w:bCs/>
    </w:rPr>
  </w:style>
  <w:style w:type="character" w:customStyle="1" w:styleId="20">
    <w:name w:val="Heading 1 Char"/>
    <w:basedOn w:val="13"/>
    <w:link w:val="2"/>
    <w:uiPriority w:val="9"/>
    <w:rPr>
      <w:rFonts w:ascii="Times New Roman" w:hAnsi="Times New Roman" w:eastAsia="Times New Roman" w:cs="Times New Roman"/>
      <w:b/>
      <w:bCs/>
      <w:sz w:val="24"/>
      <w:szCs w:val="24"/>
      <w:lang w:val="en-GB"/>
    </w:rPr>
  </w:style>
  <w:style w:type="character" w:customStyle="1" w:styleId="21">
    <w:name w:val="Heading 2 Char"/>
    <w:basedOn w:val="13"/>
    <w:link w:val="3"/>
    <w:uiPriority w:val="9"/>
    <w:rPr>
      <w:rFonts w:ascii="Times New Roman" w:hAnsi="Times New Roman" w:eastAsia="Times New Roman" w:cs="Times New Roman"/>
      <w:b/>
      <w:bCs/>
      <w:sz w:val="24"/>
      <w:szCs w:val="24"/>
      <w:lang w:val="en-GB"/>
    </w:rPr>
  </w:style>
  <w:style w:type="character" w:customStyle="1" w:styleId="22">
    <w:name w:val="Heading 3 Char"/>
    <w:basedOn w:val="13"/>
    <w:link w:val="4"/>
    <w:uiPriority w:val="9"/>
    <w:rPr>
      <w:rFonts w:ascii="Times New Roman" w:hAnsi="Times New Roman" w:eastAsia="Times New Roman" w:cs="Times New Roman"/>
      <w:b/>
      <w:bCs/>
      <w:sz w:val="24"/>
      <w:szCs w:val="24"/>
      <w:lang w:val="en-GB"/>
    </w:rPr>
  </w:style>
  <w:style w:type="table" w:customStyle="1" w:styleId="23">
    <w:name w:val="Blaise Style1"/>
    <w:basedOn w:val="19"/>
    <w:qFormat/>
    <w:uiPriority w:val="99"/>
    <w:pPr>
      <w:spacing w:after="0" w:line="240" w:lineRule="auto"/>
    </w:pPr>
    <w:tblPr>
      <w:tbl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insideH w:val="single" w:color="548DD4" w:themeColor="text2" w:themeTint="99" w:sz="12" w:space="0"/>
        <w:insideV w:val="single" w:color="548DD4" w:themeColor="text2" w:themeTint="99" w:sz="12" w:space="0"/>
      </w:tblBorders>
      <w:tblLayout w:type="fixed"/>
      <w:tblCellMar>
        <w:top w:w="0" w:type="dxa"/>
        <w:left w:w="108" w:type="dxa"/>
        <w:bottom w:w="0" w:type="dxa"/>
        <w:right w:w="108" w:type="dxa"/>
      </w:tblCellMar>
    </w:tblPr>
    <w:tcPr>
      <w:shd w:val="clear" w:color="auto" w:fill="auto"/>
    </w:tcPr>
  </w:style>
  <w:style w:type="character" w:customStyle="1" w:styleId="24">
    <w:name w:val="Footnote Text Char"/>
    <w:basedOn w:val="13"/>
    <w:link w:val="7"/>
    <w:semiHidden/>
    <w:uiPriority w:val="99"/>
    <w:rPr>
      <w:sz w:val="20"/>
      <w:szCs w:val="20"/>
      <w:lang w:val="en-GB"/>
    </w:rPr>
  </w:style>
  <w:style w:type="character" w:customStyle="1" w:styleId="25">
    <w:name w:val="Header Char"/>
    <w:basedOn w:val="13"/>
    <w:link w:val="8"/>
    <w:semiHidden/>
    <w:uiPriority w:val="99"/>
    <w:rPr>
      <w:lang w:val="en-GB"/>
    </w:rPr>
  </w:style>
  <w:style w:type="character" w:customStyle="1" w:styleId="26">
    <w:name w:val="Footer Char"/>
    <w:basedOn w:val="13"/>
    <w:link w:val="6"/>
    <w:uiPriority w:val="99"/>
    <w:rPr>
      <w:lang w:val="en-GB"/>
    </w:rPr>
  </w:style>
  <w:style w:type="paragraph" w:customStyle="1" w:styleId="27">
    <w:name w:val="List Paragraph"/>
    <w:basedOn w:val="1"/>
    <w:qFormat/>
    <w:uiPriority w:val="34"/>
    <w:pPr>
      <w:ind w:left="720"/>
      <w:contextualSpacing/>
    </w:pPr>
  </w:style>
  <w:style w:type="character" w:customStyle="1" w:styleId="28">
    <w:name w:val="whitespace-normal"/>
    <w:basedOn w:val="13"/>
    <w:uiPriority w:val="0"/>
  </w:style>
  <w:style w:type="paragraph" w:customStyle="1" w:styleId="29">
    <w:name w:val="TOC Heading"/>
    <w:basedOn w:val="2"/>
    <w:next w:val="1"/>
    <w:unhideWhenUsed/>
    <w:qFormat/>
    <w:uiPriority w:val="39"/>
    <w:pPr>
      <w:keepNext/>
      <w:keepLines/>
      <w:spacing w:before="480" w:after="0" w:line="276" w:lineRule="auto"/>
      <w:jc w:val="left"/>
      <w:outlineLvl w:val="9"/>
    </w:pPr>
    <w:rPr>
      <w:rFonts w:asciiTheme="majorHAnsi" w:hAnsiTheme="majorHAnsi" w:eastAsiaTheme="majorEastAsia" w:cstheme="majorBidi"/>
      <w:color w:val="366091" w:themeColor="accent1" w:themeShade="BF"/>
      <w:sz w:val="28"/>
      <w:szCs w:val="28"/>
      <w:lang w:val="en-US"/>
    </w:rPr>
  </w:style>
  <w:style w:type="character" w:customStyle="1" w:styleId="30">
    <w:name w:val="Balloon Text Char"/>
    <w:basedOn w:val="13"/>
    <w:link w:val="5"/>
    <w:semiHidden/>
    <w:uiPriority w:val="99"/>
    <w:rPr>
      <w:rFonts w:ascii="Tahoma" w:hAnsi="Tahoma" w:cs="Tahoma"/>
      <w:sz w:val="16"/>
      <w:szCs w:val="16"/>
      <w:lang w:val="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18286</Words>
  <Characters>123980</Characters>
  <Lines>2530</Lines>
  <Paragraphs>605</Paragraphs>
  <ScaleCrop>false</ScaleCrop>
  <LinksUpToDate>false</LinksUpToDate>
  <CharactersWithSpaces>141661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2026-06-30T16:02:00Z</dcterms:created>
  <dc:creator>Kosi</dc:creator>
  <cp:lastModifiedBy>iPhone</cp:lastModifiedBy>
  <dcterms:modified xsi:type="dcterms:W3CDTF">2026-07-24T10:19:47Z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A51CEB8F8FB4206C1EAA436A73F16E72_31</vt:lpwstr>
  </property>
  <property fmtid="{D5CDD505-2E9C-101B-9397-08002B2CF9AE}" pid="3" name="KSOProductBuildVer">
    <vt:lpwstr>3081-26.7.0</vt:lpwstr>
  </property>
</Properties>
</file>