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0DB68">
      <w:pPr>
        <w:jc w:val="center"/>
        <w:rPr>
          <w:rFonts w:ascii="Times New Roman" w:hAnsi="Times New Roman" w:cs="Times New Roman"/>
          <w:b/>
          <w:kern w:val="36"/>
          <w:sz w:val="24"/>
          <w:szCs w:val="24"/>
        </w:rPr>
      </w:pPr>
      <w:bookmarkStart w:id="0" w:name="_Toc232552211"/>
      <w:r>
        <w:rPr>
          <w:rFonts w:ascii="Times New Roman" w:hAnsi="Times New Roman" w:cs="Times New Roman"/>
          <w:b/>
          <w:kern w:val="36"/>
          <w:sz w:val="24"/>
          <w:szCs w:val="24"/>
        </w:rPr>
        <w:t>AN APPRAISAL OF THE LAND USE AC</w:t>
      </w:r>
      <w:r>
        <w:rPr>
          <w:rFonts w:ascii="Times New Roman" w:hAnsi="Times New Roman" w:cs="Times New Roman"/>
          <w:b/>
          <w:kern w:val="36"/>
          <w:sz w:val="24"/>
          <w:szCs w:val="24"/>
          <w:lang w:val="en-US"/>
        </w:rPr>
        <w:t>T</w:t>
      </w:r>
      <w:r>
        <w:rPr>
          <w:rFonts w:ascii="Times New Roman" w:hAnsi="Times New Roman" w:cs="Times New Roman"/>
          <w:b/>
          <w:kern w:val="36"/>
          <w:sz w:val="24"/>
          <w:szCs w:val="24"/>
        </w:rPr>
        <w:t>: NEED FOR AMENDMENT</w:t>
      </w:r>
      <w:bookmarkEnd w:id="0"/>
    </w:p>
    <w:p w14:paraId="7D5E06DC">
      <w:pPr>
        <w:jc w:val="center"/>
        <w:rPr>
          <w:rFonts w:ascii="Times New Roman" w:hAnsi="Times New Roman" w:cs="Times New Roman"/>
          <w:b/>
          <w:kern w:val="36"/>
          <w:sz w:val="24"/>
          <w:szCs w:val="24"/>
        </w:rPr>
      </w:pPr>
    </w:p>
    <w:p w14:paraId="1B3A1D36">
      <w:pPr>
        <w:jc w:val="center"/>
        <w:rPr>
          <w:rFonts w:ascii="Times New Roman" w:hAnsi="Times New Roman" w:cs="Times New Roman"/>
          <w:b/>
          <w:kern w:val="36"/>
          <w:sz w:val="24"/>
          <w:szCs w:val="24"/>
        </w:rPr>
      </w:pPr>
    </w:p>
    <w:p w14:paraId="1F7F5AB0">
      <w:pPr>
        <w:jc w:val="center"/>
        <w:rPr>
          <w:rFonts w:ascii="Times New Roman" w:hAnsi="Times New Roman" w:cs="Times New Roman"/>
          <w:b/>
          <w:kern w:val="36"/>
          <w:sz w:val="24"/>
          <w:szCs w:val="24"/>
        </w:rPr>
      </w:pPr>
    </w:p>
    <w:p w14:paraId="2E209A4F">
      <w:pPr>
        <w:jc w:val="center"/>
        <w:rPr>
          <w:rFonts w:ascii="Times New Roman" w:hAnsi="Times New Roman" w:cs="Times New Roman"/>
          <w:b/>
          <w:kern w:val="36"/>
          <w:sz w:val="24"/>
          <w:szCs w:val="24"/>
        </w:rPr>
      </w:pPr>
    </w:p>
    <w:p w14:paraId="4D3EB327">
      <w:pPr>
        <w:jc w:val="center"/>
        <w:rPr>
          <w:rFonts w:ascii="Times New Roman" w:hAnsi="Times New Roman" w:cs="Times New Roman"/>
          <w:b/>
          <w:kern w:val="36"/>
          <w:sz w:val="24"/>
          <w:szCs w:val="24"/>
        </w:rPr>
      </w:pPr>
    </w:p>
    <w:p w14:paraId="73C6E302">
      <w:pPr>
        <w:jc w:val="center"/>
        <w:rPr>
          <w:rFonts w:ascii="Times New Roman" w:hAnsi="Times New Roman" w:cs="Times New Roman"/>
          <w:b/>
          <w:kern w:val="36"/>
          <w:sz w:val="24"/>
          <w:szCs w:val="24"/>
        </w:rPr>
      </w:pPr>
    </w:p>
    <w:p w14:paraId="2FFFB219">
      <w:pPr>
        <w:jc w:val="center"/>
        <w:rPr>
          <w:rFonts w:ascii="Times New Roman" w:hAnsi="Times New Roman" w:cs="Times New Roman"/>
          <w:b/>
          <w:kern w:val="36"/>
          <w:sz w:val="24"/>
          <w:szCs w:val="24"/>
        </w:rPr>
      </w:pPr>
    </w:p>
    <w:p w14:paraId="7F6031FC">
      <w:pPr>
        <w:jc w:val="center"/>
        <w:rPr>
          <w:rFonts w:ascii="Times New Roman" w:hAnsi="Times New Roman" w:cs="Times New Roman"/>
          <w:b/>
          <w:kern w:val="36"/>
          <w:sz w:val="24"/>
          <w:szCs w:val="24"/>
        </w:rPr>
      </w:pPr>
      <w:bookmarkStart w:id="1" w:name="_Toc232552212"/>
      <w:r>
        <w:rPr>
          <w:rFonts w:ascii="Times New Roman" w:hAnsi="Times New Roman" w:cs="Times New Roman"/>
          <w:b/>
          <w:kern w:val="36"/>
          <w:sz w:val="24"/>
          <w:szCs w:val="24"/>
        </w:rPr>
        <w:t>STELLA OGECHI</w:t>
      </w:r>
      <w:bookmarkEnd w:id="1"/>
      <w:r>
        <w:rPr>
          <w:rFonts w:ascii="Times New Roman" w:hAnsi="Times New Roman" w:cs="Times New Roman"/>
          <w:b/>
          <w:kern w:val="36"/>
          <w:sz w:val="24"/>
          <w:szCs w:val="24"/>
        </w:rPr>
        <w:t xml:space="preserve"> UGWUANYI</w:t>
      </w:r>
    </w:p>
    <w:p w14:paraId="286A86A3">
      <w:pPr>
        <w:jc w:val="center"/>
        <w:rPr>
          <w:rFonts w:ascii="Times New Roman" w:hAnsi="Times New Roman" w:cs="Times New Roman"/>
          <w:b/>
          <w:kern w:val="36"/>
          <w:sz w:val="24"/>
          <w:szCs w:val="24"/>
        </w:rPr>
      </w:pPr>
      <w:bookmarkStart w:id="2" w:name="_Toc232552213"/>
      <w:r>
        <w:rPr>
          <w:rFonts w:ascii="Times New Roman" w:hAnsi="Times New Roman" w:cs="Times New Roman"/>
          <w:b/>
          <w:kern w:val="36"/>
          <w:sz w:val="24"/>
          <w:szCs w:val="24"/>
        </w:rPr>
        <w:t>GOU/U21/LAW/351</w:t>
      </w:r>
      <w:bookmarkEnd w:id="2"/>
    </w:p>
    <w:p w14:paraId="19BBD8E2">
      <w:pPr>
        <w:rPr>
          <w:rFonts w:ascii="Times New Roman" w:hAnsi="Times New Roman" w:cs="Times New Roman"/>
          <w:b/>
          <w:kern w:val="36"/>
          <w:sz w:val="24"/>
          <w:szCs w:val="24"/>
        </w:rPr>
      </w:pPr>
    </w:p>
    <w:p w14:paraId="567C1C62">
      <w:pPr>
        <w:rPr>
          <w:rFonts w:ascii="Times New Roman" w:hAnsi="Times New Roman" w:cs="Times New Roman"/>
          <w:b/>
          <w:kern w:val="36"/>
          <w:sz w:val="24"/>
          <w:szCs w:val="24"/>
        </w:rPr>
      </w:pPr>
    </w:p>
    <w:p w14:paraId="7259C3F9">
      <w:pPr>
        <w:rPr>
          <w:rFonts w:ascii="Times New Roman" w:hAnsi="Times New Roman" w:cs="Times New Roman"/>
          <w:b/>
          <w:kern w:val="36"/>
          <w:sz w:val="24"/>
          <w:szCs w:val="24"/>
        </w:rPr>
      </w:pPr>
    </w:p>
    <w:p w14:paraId="1817FC7C">
      <w:pPr>
        <w:jc w:val="center"/>
        <w:rPr>
          <w:rFonts w:ascii="Times New Roman" w:hAnsi="Times New Roman" w:cs="Times New Roman"/>
          <w:b/>
          <w:kern w:val="36"/>
          <w:sz w:val="24"/>
          <w:szCs w:val="24"/>
        </w:rPr>
      </w:pPr>
    </w:p>
    <w:p w14:paraId="6B3DE84D">
      <w:pPr>
        <w:jc w:val="center"/>
        <w:rPr>
          <w:rFonts w:ascii="Times New Roman" w:hAnsi="Times New Roman" w:cs="Times New Roman"/>
          <w:b/>
          <w:kern w:val="36"/>
          <w:sz w:val="24"/>
          <w:szCs w:val="24"/>
        </w:rPr>
      </w:pPr>
    </w:p>
    <w:p w14:paraId="4105C836">
      <w:pPr>
        <w:jc w:val="center"/>
        <w:rPr>
          <w:rFonts w:ascii="Times New Roman" w:hAnsi="Times New Roman" w:cs="Times New Roman"/>
          <w:b/>
          <w:kern w:val="36"/>
          <w:sz w:val="24"/>
          <w:szCs w:val="24"/>
        </w:rPr>
      </w:pPr>
    </w:p>
    <w:p w14:paraId="15DE8B5F">
      <w:pPr>
        <w:rPr>
          <w:rFonts w:ascii="Times New Roman" w:hAnsi="Times New Roman" w:cs="Times New Roman"/>
          <w:kern w:val="36"/>
          <w:sz w:val="24"/>
          <w:szCs w:val="24"/>
        </w:rPr>
      </w:pPr>
    </w:p>
    <w:p w14:paraId="1595877E">
      <w:pPr>
        <w:ind w:left="2880" w:firstLine="720"/>
        <w:rPr>
          <w:rFonts w:ascii="Times New Roman" w:hAnsi="Times New Roman" w:cs="Times New Roman"/>
          <w:b/>
          <w:bCs/>
          <w:kern w:val="36"/>
          <w:sz w:val="24"/>
          <w:szCs w:val="24"/>
        </w:rPr>
      </w:pPr>
      <w:r>
        <w:rPr>
          <w:rFonts w:ascii="Times New Roman" w:hAnsi="Times New Roman" w:cs="Times New Roman"/>
          <w:b/>
          <w:bCs/>
          <w:kern w:val="36"/>
          <w:sz w:val="24"/>
          <w:szCs w:val="24"/>
        </w:rPr>
        <w:t>JULY 2026.</w:t>
      </w:r>
    </w:p>
    <w:p w14:paraId="0B859A9B">
      <w:pPr>
        <w:ind w:left="2880" w:firstLine="720"/>
        <w:rPr>
          <w:rFonts w:ascii="Times New Roman" w:hAnsi="Times New Roman" w:cs="Times New Roman"/>
          <w:b/>
          <w:bCs/>
          <w:kern w:val="36"/>
          <w:sz w:val="24"/>
          <w:szCs w:val="24"/>
        </w:rPr>
      </w:pPr>
    </w:p>
    <w:p w14:paraId="5F43479B">
      <w:pPr>
        <w:ind w:left="2880" w:firstLine="720"/>
        <w:rPr>
          <w:rFonts w:ascii="Times New Roman" w:hAnsi="Times New Roman" w:cs="Times New Roman"/>
          <w:b/>
          <w:bCs/>
          <w:kern w:val="36"/>
          <w:sz w:val="24"/>
          <w:szCs w:val="24"/>
        </w:rPr>
      </w:pPr>
    </w:p>
    <w:p w14:paraId="3D853284">
      <w:pPr>
        <w:pStyle w:val="2"/>
      </w:pPr>
      <w:bookmarkStart w:id="3" w:name="_Toc232552222"/>
      <w:bookmarkStart w:id="4" w:name="_Toc232552904"/>
    </w:p>
    <w:p w14:paraId="405891AF">
      <w:pPr>
        <w:pStyle w:val="2"/>
      </w:pPr>
    </w:p>
    <w:p w14:paraId="6A494CD3">
      <w:pPr>
        <w:jc w:val="center"/>
        <w:rPr>
          <w:rFonts w:ascii="Times New Roman" w:hAnsi="Times New Roman" w:cs="Times New Roman"/>
          <w:b/>
          <w:bCs/>
          <w:kern w:val="36"/>
          <w:sz w:val="24"/>
          <w:szCs w:val="24"/>
        </w:rPr>
      </w:pPr>
      <w:bookmarkStart w:id="5" w:name="_Toc232552216"/>
    </w:p>
    <w:p w14:paraId="5E127A25">
      <w:pPr>
        <w:jc w:val="center"/>
        <w:rPr>
          <w:rFonts w:ascii="Times New Roman" w:hAnsi="Times New Roman" w:cs="Times New Roman"/>
          <w:b/>
          <w:bCs/>
          <w:kern w:val="36"/>
          <w:sz w:val="24"/>
          <w:szCs w:val="24"/>
        </w:rPr>
      </w:pPr>
    </w:p>
    <w:p w14:paraId="32BF922C">
      <w:pPr>
        <w:jc w:val="center"/>
        <w:rPr>
          <w:rFonts w:ascii="Times New Roman" w:hAnsi="Times New Roman" w:cs="Times New Roman"/>
          <w:b/>
          <w:bCs/>
          <w:kern w:val="36"/>
          <w:sz w:val="24"/>
          <w:szCs w:val="24"/>
        </w:rPr>
      </w:pPr>
    </w:p>
    <w:p w14:paraId="213CAC99">
      <w:pPr>
        <w:jc w:val="center"/>
        <w:rPr>
          <w:rFonts w:ascii="Times New Roman" w:hAnsi="Times New Roman" w:cs="Times New Roman"/>
          <w:b/>
          <w:bCs/>
          <w:kern w:val="36"/>
          <w:sz w:val="24"/>
          <w:szCs w:val="24"/>
        </w:rPr>
      </w:pPr>
    </w:p>
    <w:p w14:paraId="2544D2D5">
      <w:pPr>
        <w:jc w:val="center"/>
        <w:rPr>
          <w:rFonts w:ascii="Times New Roman" w:hAnsi="Times New Roman" w:cs="Times New Roman"/>
          <w:b/>
          <w:bCs/>
          <w:kern w:val="36"/>
          <w:sz w:val="24"/>
          <w:szCs w:val="24"/>
        </w:rPr>
      </w:pPr>
    </w:p>
    <w:p w14:paraId="787DC828">
      <w:pPr>
        <w:jc w:val="center"/>
        <w:rPr>
          <w:rFonts w:ascii="Times New Roman" w:hAnsi="Times New Roman" w:cs="Times New Roman"/>
          <w:b/>
          <w:bCs/>
          <w:kern w:val="36"/>
          <w:sz w:val="24"/>
          <w:szCs w:val="24"/>
        </w:rPr>
      </w:pPr>
      <w:r>
        <w:rPr>
          <w:rFonts w:ascii="Times New Roman" w:hAnsi="Times New Roman" w:cs="Times New Roman"/>
          <w:b/>
          <w:bCs/>
          <w:kern w:val="36"/>
          <w:sz w:val="24"/>
          <w:szCs w:val="24"/>
        </w:rPr>
        <w:t>AN APPRAISAL OF THE LAND USE ACT: NEED FOR AMENDMENT</w:t>
      </w:r>
      <w:bookmarkEnd w:id="5"/>
    </w:p>
    <w:p w14:paraId="0C74A0AB">
      <w:pPr>
        <w:jc w:val="center"/>
        <w:rPr>
          <w:rFonts w:ascii="Times New Roman" w:hAnsi="Times New Roman" w:cs="Times New Roman"/>
          <w:kern w:val="36"/>
          <w:sz w:val="24"/>
          <w:szCs w:val="24"/>
        </w:rPr>
      </w:pPr>
    </w:p>
    <w:p w14:paraId="71447697">
      <w:pPr>
        <w:jc w:val="center"/>
        <w:rPr>
          <w:rFonts w:ascii="Times New Roman" w:hAnsi="Times New Roman" w:cs="Times New Roman"/>
          <w:kern w:val="36"/>
          <w:sz w:val="24"/>
          <w:szCs w:val="24"/>
        </w:rPr>
      </w:pPr>
    </w:p>
    <w:p w14:paraId="6A868114">
      <w:pPr>
        <w:jc w:val="center"/>
        <w:rPr>
          <w:rFonts w:ascii="Times New Roman" w:hAnsi="Times New Roman" w:cs="Times New Roman"/>
          <w:kern w:val="36"/>
          <w:sz w:val="24"/>
          <w:szCs w:val="24"/>
        </w:rPr>
      </w:pPr>
    </w:p>
    <w:p w14:paraId="418B7B65">
      <w:pPr>
        <w:jc w:val="center"/>
        <w:rPr>
          <w:rFonts w:ascii="Times New Roman" w:hAnsi="Times New Roman" w:cs="Times New Roman"/>
          <w:kern w:val="36"/>
          <w:sz w:val="24"/>
          <w:szCs w:val="24"/>
        </w:rPr>
      </w:pPr>
    </w:p>
    <w:p w14:paraId="4512D0C7">
      <w:pPr>
        <w:jc w:val="center"/>
        <w:rPr>
          <w:rFonts w:ascii="Times New Roman" w:hAnsi="Times New Roman" w:cs="Times New Roman"/>
          <w:kern w:val="36"/>
          <w:sz w:val="24"/>
          <w:szCs w:val="24"/>
        </w:rPr>
      </w:pPr>
    </w:p>
    <w:p w14:paraId="7DE04D70">
      <w:pPr>
        <w:jc w:val="center"/>
        <w:rPr>
          <w:rFonts w:ascii="Times New Roman" w:hAnsi="Times New Roman" w:cs="Times New Roman"/>
          <w:b/>
          <w:bCs/>
          <w:kern w:val="36"/>
          <w:sz w:val="24"/>
          <w:szCs w:val="24"/>
        </w:rPr>
      </w:pPr>
      <w:bookmarkStart w:id="6" w:name="_Toc232552217"/>
      <w:r>
        <w:rPr>
          <w:rFonts w:ascii="Times New Roman" w:hAnsi="Times New Roman" w:cs="Times New Roman"/>
          <w:b/>
          <w:bCs/>
          <w:kern w:val="36"/>
          <w:sz w:val="24"/>
          <w:szCs w:val="24"/>
        </w:rPr>
        <w:t>STELLA OGECHI</w:t>
      </w:r>
      <w:bookmarkEnd w:id="6"/>
      <w:r>
        <w:rPr>
          <w:rFonts w:ascii="Times New Roman" w:hAnsi="Times New Roman" w:cs="Times New Roman"/>
          <w:b/>
          <w:bCs/>
          <w:kern w:val="36"/>
          <w:sz w:val="24"/>
          <w:szCs w:val="24"/>
        </w:rPr>
        <w:t xml:space="preserve"> UGWUANYI</w:t>
      </w:r>
    </w:p>
    <w:p w14:paraId="2107B827">
      <w:pPr>
        <w:jc w:val="center"/>
        <w:rPr>
          <w:rFonts w:ascii="Times New Roman" w:hAnsi="Times New Roman" w:cs="Times New Roman"/>
          <w:b/>
          <w:bCs/>
          <w:kern w:val="36"/>
          <w:sz w:val="24"/>
          <w:szCs w:val="24"/>
        </w:rPr>
      </w:pPr>
      <w:bookmarkStart w:id="7" w:name="_Toc232552218"/>
      <w:r>
        <w:rPr>
          <w:rFonts w:ascii="Times New Roman" w:hAnsi="Times New Roman" w:cs="Times New Roman"/>
          <w:b/>
          <w:bCs/>
          <w:kern w:val="36"/>
          <w:sz w:val="24"/>
          <w:szCs w:val="24"/>
        </w:rPr>
        <w:t>GOU/U21/LAW/351</w:t>
      </w:r>
      <w:bookmarkEnd w:id="7"/>
    </w:p>
    <w:p w14:paraId="40306A63">
      <w:pPr>
        <w:jc w:val="center"/>
        <w:rPr>
          <w:rFonts w:ascii="Times New Roman" w:hAnsi="Times New Roman" w:cs="Times New Roman"/>
          <w:b/>
          <w:bCs/>
          <w:kern w:val="36"/>
          <w:sz w:val="24"/>
          <w:szCs w:val="24"/>
        </w:rPr>
      </w:pPr>
    </w:p>
    <w:p w14:paraId="1C6E36FA">
      <w:pPr>
        <w:jc w:val="center"/>
        <w:rPr>
          <w:rFonts w:ascii="Times New Roman" w:hAnsi="Times New Roman" w:cs="Times New Roman"/>
          <w:b/>
          <w:bCs/>
          <w:kern w:val="36"/>
          <w:sz w:val="24"/>
          <w:szCs w:val="24"/>
        </w:rPr>
      </w:pPr>
    </w:p>
    <w:p w14:paraId="4B3FD495">
      <w:pPr>
        <w:jc w:val="center"/>
        <w:rPr>
          <w:rFonts w:ascii="Times New Roman" w:hAnsi="Times New Roman" w:cs="Times New Roman"/>
          <w:b/>
          <w:bCs/>
          <w:kern w:val="36"/>
          <w:sz w:val="24"/>
          <w:szCs w:val="24"/>
        </w:rPr>
      </w:pPr>
    </w:p>
    <w:p w14:paraId="6ACB4812">
      <w:pPr>
        <w:jc w:val="center"/>
        <w:rPr>
          <w:rFonts w:ascii="Times New Roman" w:hAnsi="Times New Roman" w:cs="Times New Roman"/>
          <w:b/>
          <w:bCs/>
          <w:kern w:val="36"/>
          <w:sz w:val="24"/>
          <w:szCs w:val="24"/>
        </w:rPr>
      </w:pPr>
    </w:p>
    <w:p w14:paraId="28E9C0ED">
      <w:pPr>
        <w:pStyle w:val="10"/>
        <w:widowControl/>
        <w:spacing w:beforeAutospacing="0" w:after="150" w:afterAutospacing="0" w:line="21" w:lineRule="atLeast"/>
        <w:ind w:left="0" w:right="0" w:firstLine="0"/>
        <w:jc w:val="center"/>
        <w:rPr>
          <w:rFonts w:hint="default" w:ascii="Times New Roman" w:hAnsi="Times New Roman" w:cs="Times New Roman"/>
          <w:b/>
          <w:i w:val="0"/>
          <w:caps w:val="0"/>
          <w:color w:val="000000"/>
          <w:spacing w:val="0"/>
          <w:sz w:val="24"/>
          <w:szCs w:val="24"/>
          <w:u w:val="none"/>
        </w:rPr>
      </w:pPr>
      <w:r>
        <w:rPr>
          <w:rFonts w:hint="default" w:ascii="Times New Roman" w:hAnsi="Times New Roman" w:cs="Times New Roman"/>
          <w:b/>
          <w:i w:val="0"/>
          <w:caps w:val="0"/>
          <w:color w:val="000000"/>
          <w:spacing w:val="0"/>
          <w:sz w:val="24"/>
          <w:szCs w:val="24"/>
          <w:u w:val="none"/>
        </w:rPr>
        <w:t>A LONG ESSAY SUBMITTED TO THE FACULTY OF LAW, GODFREY OKOYE UNIVERSITY, IN PARTIAL FULFILMENT OF THE REQUIREMENTS FOR THE AWARD OF THE DEGREE OF BACHELOR OF LAW (LL. B) OF GODFREY OKOYE UNIVERSITY.</w:t>
      </w:r>
    </w:p>
    <w:p w14:paraId="30E0BF9A">
      <w:pPr>
        <w:pStyle w:val="10"/>
        <w:widowControl/>
        <w:spacing w:beforeAutospacing="0" w:after="150" w:afterAutospacing="0" w:line="21" w:lineRule="atLeast"/>
        <w:ind w:left="0" w:right="0" w:firstLine="0"/>
        <w:jc w:val="left"/>
        <w:rPr>
          <w:rFonts w:hint="default" w:ascii="Times New Roman" w:hAnsi="Times New Roman" w:cs="Times New Roman"/>
          <w:b/>
          <w:i w:val="0"/>
          <w:caps w:val="0"/>
          <w:color w:val="000000"/>
          <w:spacing w:val="0"/>
          <w:sz w:val="18"/>
          <w:szCs w:val="18"/>
          <w:u w:val="none"/>
        </w:rPr>
      </w:pPr>
      <w:r>
        <w:rPr>
          <w:rFonts w:hint="default" w:ascii="Times New Roman" w:hAnsi="Times New Roman" w:cs="Times New Roman"/>
          <w:b/>
          <w:i w:val="0"/>
          <w:caps w:val="0"/>
          <w:color w:val="000000"/>
          <w:spacing w:val="0"/>
          <w:sz w:val="18"/>
          <w:szCs w:val="18"/>
          <w:u w:val="none"/>
        </w:rPr>
        <w:t> </w:t>
      </w:r>
    </w:p>
    <w:p w14:paraId="62D26670">
      <w:pPr>
        <w:widowControl/>
        <w:jc w:val="left"/>
      </w:pPr>
    </w:p>
    <w:p w14:paraId="1398C29E">
      <w:pPr>
        <w:jc w:val="center"/>
        <w:rPr>
          <w:rFonts w:ascii="Times New Roman" w:hAnsi="Times New Roman" w:cs="Times New Roman"/>
          <w:b/>
          <w:bCs/>
          <w:kern w:val="36"/>
          <w:sz w:val="24"/>
          <w:szCs w:val="24"/>
        </w:rPr>
      </w:pPr>
    </w:p>
    <w:p w14:paraId="666EE669">
      <w:pPr>
        <w:jc w:val="center"/>
        <w:rPr>
          <w:rFonts w:ascii="Times New Roman" w:hAnsi="Times New Roman" w:cs="Times New Roman"/>
          <w:b/>
          <w:bCs/>
          <w:kern w:val="36"/>
          <w:sz w:val="24"/>
          <w:szCs w:val="24"/>
        </w:rPr>
      </w:pPr>
    </w:p>
    <w:p w14:paraId="478A4121">
      <w:pPr>
        <w:jc w:val="center"/>
        <w:rPr>
          <w:rFonts w:ascii="Times New Roman" w:hAnsi="Times New Roman" w:cs="Times New Roman"/>
          <w:b/>
          <w:bCs/>
          <w:kern w:val="36"/>
          <w:sz w:val="24"/>
          <w:szCs w:val="24"/>
        </w:rPr>
      </w:pPr>
    </w:p>
    <w:p w14:paraId="1DF179EA">
      <w:pPr>
        <w:jc w:val="center"/>
        <w:rPr>
          <w:rFonts w:ascii="Times New Roman" w:hAnsi="Times New Roman" w:cs="Times New Roman"/>
          <w:b/>
          <w:bCs/>
          <w:kern w:val="36"/>
          <w:sz w:val="24"/>
          <w:szCs w:val="24"/>
        </w:rPr>
      </w:pPr>
    </w:p>
    <w:p w14:paraId="53DEC133">
      <w:pPr>
        <w:jc w:val="center"/>
        <w:rPr>
          <w:rFonts w:ascii="Times New Roman" w:hAnsi="Times New Roman" w:cs="Times New Roman"/>
          <w:b/>
          <w:bCs/>
          <w:kern w:val="36"/>
          <w:sz w:val="24"/>
          <w:szCs w:val="24"/>
        </w:rPr>
      </w:pPr>
    </w:p>
    <w:p w14:paraId="23A6AE66">
      <w:pPr>
        <w:jc w:val="center"/>
        <w:rPr>
          <w:rFonts w:ascii="Times New Roman" w:hAnsi="Times New Roman" w:cs="Times New Roman"/>
          <w:b/>
          <w:bCs/>
          <w:kern w:val="36"/>
          <w:sz w:val="24"/>
          <w:szCs w:val="24"/>
        </w:rPr>
      </w:pPr>
      <w:bookmarkStart w:id="8" w:name="_Toc232552220"/>
      <w:r>
        <w:rPr>
          <w:rFonts w:ascii="Times New Roman" w:hAnsi="Times New Roman" w:cs="Times New Roman"/>
          <w:b/>
          <w:bCs/>
          <w:kern w:val="36"/>
          <w:sz w:val="24"/>
          <w:szCs w:val="24"/>
        </w:rPr>
        <w:t>SUPERVISOR: DR. ONWA ALI ONWA</w:t>
      </w:r>
      <w:bookmarkEnd w:id="8"/>
    </w:p>
    <w:p w14:paraId="513B830C">
      <w:pPr>
        <w:jc w:val="center"/>
        <w:rPr>
          <w:rFonts w:ascii="Times New Roman" w:hAnsi="Times New Roman" w:cs="Times New Roman"/>
          <w:b/>
          <w:bCs/>
          <w:kern w:val="36"/>
          <w:sz w:val="24"/>
          <w:szCs w:val="24"/>
        </w:rPr>
      </w:pPr>
    </w:p>
    <w:p w14:paraId="157A8921">
      <w:pPr>
        <w:jc w:val="center"/>
        <w:rPr>
          <w:rFonts w:ascii="Times New Roman" w:hAnsi="Times New Roman" w:cs="Times New Roman"/>
          <w:b/>
          <w:bCs/>
          <w:kern w:val="36"/>
          <w:sz w:val="24"/>
          <w:szCs w:val="24"/>
        </w:rPr>
      </w:pPr>
    </w:p>
    <w:p w14:paraId="4C7D55F9">
      <w:pPr>
        <w:jc w:val="center"/>
        <w:rPr>
          <w:rFonts w:ascii="Times New Roman" w:hAnsi="Times New Roman" w:cs="Times New Roman"/>
          <w:b/>
          <w:bCs/>
          <w:kern w:val="36"/>
          <w:sz w:val="24"/>
          <w:szCs w:val="24"/>
        </w:rPr>
      </w:pPr>
      <w:bookmarkStart w:id="149" w:name="_GoBack"/>
      <w:bookmarkEnd w:id="149"/>
    </w:p>
    <w:p w14:paraId="7F57FFE7">
      <w:pPr>
        <w:jc w:val="center"/>
        <w:rPr>
          <w:rFonts w:ascii="Times New Roman" w:hAnsi="Times New Roman" w:cs="Times New Roman"/>
          <w:b/>
          <w:bCs/>
          <w:kern w:val="36"/>
          <w:sz w:val="24"/>
          <w:szCs w:val="24"/>
        </w:rPr>
      </w:pPr>
      <w:bookmarkStart w:id="9" w:name="_Toc232552221"/>
      <w:r>
        <w:rPr>
          <w:rFonts w:ascii="Times New Roman" w:hAnsi="Times New Roman" w:cs="Times New Roman"/>
          <w:b/>
          <w:bCs/>
          <w:kern w:val="36"/>
          <w:sz w:val="24"/>
          <w:szCs w:val="24"/>
        </w:rPr>
        <w:t>JULY 2026</w:t>
      </w:r>
      <w:bookmarkEnd w:id="9"/>
    </w:p>
    <w:p w14:paraId="5D21CF65">
      <w:pPr>
        <w:pStyle w:val="2"/>
      </w:pPr>
    </w:p>
    <w:p w14:paraId="1949EE2B">
      <w:pPr>
        <w:pStyle w:val="2"/>
      </w:pPr>
    </w:p>
    <w:bookmarkEnd w:id="3"/>
    <w:bookmarkEnd w:id="4"/>
    <w:p w14:paraId="26CF8CE6">
      <w:pPr>
        <w:rPr>
          <w:rFonts w:ascii="Times New Roman" w:hAnsi="Times New Roman" w:eastAsia="Times New Roman" w:cs="Times New Roman"/>
          <w:bCs/>
          <w:kern w:val="36"/>
          <w:sz w:val="24"/>
          <w:szCs w:val="24"/>
          <w:lang w:val="en-US"/>
        </w:rPr>
      </w:pPr>
      <w:r>
        <w:rPr>
          <w:rFonts w:ascii="Times New Roman" w:hAnsi="Times New Roman" w:eastAsia="Times New Roman" w:cs="Times New Roman"/>
          <w:bCs/>
          <w:kern w:val="36"/>
          <w:sz w:val="24"/>
          <w:szCs w:val="24"/>
          <w:lang w:val="en-US"/>
        </w:rPr>
        <w:drawing>
          <wp:inline distT="0" distB="0" distL="114300" distR="114300">
            <wp:extent cx="5332095" cy="6040120"/>
            <wp:effectExtent l="0" t="0" r="1905" b="2540"/>
            <wp:docPr id="3" name="Picture 3" descr="2026-07-24 10:27:01.58500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26-07-24 10:27:01.585000 AM"/>
                    <pic:cNvPicPr>
                      <a:picLocks noChangeAspect="1"/>
                    </pic:cNvPicPr>
                  </pic:nvPicPr>
                  <pic:blipFill>
                    <a:blip r:embed="rId9"/>
                    <a:stretch>
                      <a:fillRect/>
                    </a:stretch>
                  </pic:blipFill>
                  <pic:spPr>
                    <a:xfrm>
                      <a:off x="0" y="0"/>
                      <a:ext cx="5332095" cy="6040120"/>
                    </a:xfrm>
                    <a:prstGeom prst="rect">
                      <a:avLst/>
                    </a:prstGeom>
                  </pic:spPr>
                </pic:pic>
              </a:graphicData>
            </a:graphic>
          </wp:inline>
        </w:drawing>
      </w:r>
    </w:p>
    <w:p w14:paraId="035D2681">
      <w:pPr>
        <w:rPr>
          <w:rFonts w:ascii="Times New Roman" w:hAnsi="Times New Roman" w:eastAsia="Times New Roman" w:cs="Times New Roman"/>
          <w:bCs/>
          <w:kern w:val="36"/>
          <w:sz w:val="24"/>
          <w:szCs w:val="24"/>
        </w:rPr>
      </w:pPr>
    </w:p>
    <w:p w14:paraId="279AD943">
      <w:pPr>
        <w:rPr>
          <w:rFonts w:ascii="Times New Roman" w:hAnsi="Times New Roman" w:eastAsia="Times New Roman" w:cs="Times New Roman"/>
          <w:bCs/>
          <w:kern w:val="36"/>
          <w:sz w:val="24"/>
          <w:szCs w:val="24"/>
        </w:rPr>
      </w:pPr>
    </w:p>
    <w:p w14:paraId="7A8DB43B">
      <w:pPr>
        <w:rPr>
          <w:rFonts w:ascii="Times New Roman" w:hAnsi="Times New Roman" w:eastAsia="Times New Roman" w:cs="Times New Roman"/>
          <w:bCs/>
          <w:kern w:val="36"/>
          <w:sz w:val="24"/>
          <w:szCs w:val="24"/>
        </w:rPr>
      </w:pPr>
    </w:p>
    <w:p w14:paraId="294833EC">
      <w:pPr>
        <w:rPr>
          <w:rFonts w:ascii="Times New Roman" w:hAnsi="Times New Roman" w:eastAsia="Times New Roman" w:cs="Times New Roman"/>
          <w:bCs/>
          <w:kern w:val="36"/>
          <w:sz w:val="24"/>
          <w:szCs w:val="24"/>
        </w:rPr>
      </w:pPr>
    </w:p>
    <w:p w14:paraId="51FC9B35">
      <w:pPr>
        <w:rPr>
          <w:rFonts w:ascii="Times New Roman" w:hAnsi="Times New Roman" w:eastAsia="Times New Roman" w:cs="Times New Roman"/>
          <w:bCs/>
          <w:kern w:val="36"/>
          <w:sz w:val="24"/>
          <w:szCs w:val="24"/>
        </w:rPr>
      </w:pPr>
    </w:p>
    <w:p w14:paraId="62DB1C1D">
      <w:pPr>
        <w:rPr>
          <w:rFonts w:ascii="Times New Roman" w:hAnsi="Times New Roman" w:eastAsia="Times New Roman" w:cs="Times New Roman"/>
          <w:bCs/>
          <w:kern w:val="36"/>
          <w:sz w:val="24"/>
          <w:szCs w:val="24"/>
        </w:rPr>
      </w:pPr>
    </w:p>
    <w:p w14:paraId="0AD278E7">
      <w:pPr>
        <w:rPr>
          <w:rFonts w:ascii="Times New Roman" w:hAnsi="Times New Roman" w:eastAsia="Times New Roman" w:cs="Times New Roman"/>
          <w:bCs/>
          <w:kern w:val="36"/>
          <w:sz w:val="24"/>
          <w:szCs w:val="24"/>
        </w:rPr>
      </w:pPr>
    </w:p>
    <w:p w14:paraId="4774ECC4">
      <w:pPr>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br w:type="page"/>
      </w:r>
    </w:p>
    <w:p w14:paraId="2045F841">
      <w:pPr>
        <w:spacing w:after="0"/>
        <w:rPr>
          <w:rFonts w:ascii="Times New Roman" w:hAnsi="Times New Roman" w:eastAsia="Times New Roman" w:cs="Times New Roman"/>
          <w:bCs/>
          <w:kern w:val="36"/>
          <w:sz w:val="24"/>
          <w:szCs w:val="24"/>
          <w:lang w:val="en-US"/>
        </w:rPr>
      </w:pPr>
    </w:p>
    <w:p w14:paraId="3751AA35">
      <w:pPr>
        <w:rPr>
          <w:rFonts w:ascii="Times New Roman" w:hAnsi="Times New Roman" w:eastAsia="Times New Roman" w:cs="Times New Roman"/>
          <w:bCs/>
          <w:kern w:val="36"/>
          <w:sz w:val="24"/>
          <w:szCs w:val="24"/>
        </w:rPr>
      </w:pPr>
      <w:bookmarkStart w:id="10" w:name="_Toc232552238"/>
      <w:r>
        <w:rPr>
          <w:rFonts w:ascii="Times New Roman" w:hAnsi="Times New Roman" w:eastAsia="Times New Roman" w:cs="Times New Roman"/>
          <w:bCs/>
          <w:kern w:val="36"/>
          <w:sz w:val="24"/>
          <w:szCs w:val="24"/>
        </w:rPr>
        <w:t> </w:t>
      </w:r>
      <w:bookmarkEnd w:id="10"/>
      <w:r>
        <w:rPr>
          <w:rFonts w:ascii="Times New Roman" w:hAnsi="Times New Roman" w:eastAsia="Times New Roman" w:cs="Times New Roman"/>
          <w:bCs/>
          <w:kern w:val="36"/>
          <w:sz w:val="24"/>
          <w:szCs w:val="24"/>
        </w:rPr>
        <w:drawing>
          <wp:inline distT="0" distB="0" distL="114300" distR="114300">
            <wp:extent cx="4460875" cy="6268720"/>
            <wp:effectExtent l="0" t="0" r="635" b="2540"/>
            <wp:docPr id="5" name="Picture 5" descr="2026-07-24 10:31:45.52500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26-07-24 10:31:45.525000 AM"/>
                    <pic:cNvPicPr>
                      <a:picLocks noChangeAspect="1"/>
                    </pic:cNvPicPr>
                  </pic:nvPicPr>
                  <pic:blipFill>
                    <a:blip r:embed="rId10"/>
                    <a:stretch>
                      <a:fillRect/>
                    </a:stretch>
                  </pic:blipFill>
                  <pic:spPr>
                    <a:xfrm>
                      <a:off x="0" y="0"/>
                      <a:ext cx="4460875" cy="6268720"/>
                    </a:xfrm>
                    <a:prstGeom prst="rect">
                      <a:avLst/>
                    </a:prstGeom>
                  </pic:spPr>
                </pic:pic>
              </a:graphicData>
            </a:graphic>
          </wp:inline>
        </w:drawing>
      </w:r>
    </w:p>
    <w:p w14:paraId="52FB8FDD">
      <w:pPr>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br w:type="page"/>
      </w:r>
    </w:p>
    <w:p w14:paraId="46AF112E">
      <w:pPr>
        <w:pStyle w:val="2"/>
        <w:spacing w:line="276" w:lineRule="auto"/>
      </w:pPr>
      <w:bookmarkStart w:id="11" w:name="_Toc232552239"/>
      <w:bookmarkStart w:id="12" w:name="_Toc232552906"/>
      <w:r>
        <w:t>DEDICATION</w:t>
      </w:r>
      <w:bookmarkEnd w:id="11"/>
      <w:bookmarkEnd w:id="12"/>
    </w:p>
    <w:p w14:paraId="4532F943">
      <w:pPr>
        <w:pStyle w:val="36"/>
        <w:spacing w:line="276" w:lineRule="auto"/>
        <w:rPr>
          <w:rFonts w:ascii="Times New Roman" w:hAnsi="Times New Roman"/>
          <w:sz w:val="24"/>
          <w:szCs w:val="24"/>
        </w:rPr>
      </w:pPr>
      <w:bookmarkStart w:id="13" w:name="OLE_LINK3"/>
      <w:bookmarkStart w:id="14" w:name="OLE_LINK4"/>
      <w:r>
        <w:rPr>
          <w:rStyle w:val="38"/>
          <w:rFonts w:ascii="Times New Roman" w:hAnsi="Times New Roman"/>
          <w:sz w:val="24"/>
          <w:szCs w:val="24"/>
        </w:rPr>
        <w:t>This research work is dedicated firstly to God Almighty who has been a constant in my life, always inspiring, guiding and lighting my path, my source of inspiration and the mastermind behind the completion of this research.</w:t>
      </w:r>
    </w:p>
    <w:p w14:paraId="4F915A3A">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 also dedicate this work to my dear mother, Rt. Honourable Ethel Oyibo Ugwuanyi, whose unwavering love, sacrifices, encouragement, and steadfast support have been the foundation of my academic journey. May God richly bless you and reward you abundantly for all you have done for me. This achievement is as much yours as it is mine.</w:t>
      </w:r>
    </w:p>
    <w:p w14:paraId="163F4993">
      <w:pPr>
        <w:pStyle w:val="2"/>
        <w:spacing w:line="276" w:lineRule="auto"/>
        <w:jc w:val="left"/>
      </w:pPr>
    </w:p>
    <w:bookmarkEnd w:id="13"/>
    <w:bookmarkEnd w:id="14"/>
    <w:p w14:paraId="14F65277">
      <w:pPr>
        <w:pStyle w:val="2"/>
      </w:pPr>
    </w:p>
    <w:p w14:paraId="48C64C56">
      <w:pPr>
        <w:rPr>
          <w:rFonts w:ascii="Times New Roman" w:hAnsi="Times New Roman" w:eastAsia="Times New Roman" w:cs="Times New Roman"/>
          <w:bCs/>
          <w:kern w:val="36"/>
          <w:sz w:val="24"/>
          <w:szCs w:val="24"/>
        </w:rPr>
      </w:pPr>
    </w:p>
    <w:p w14:paraId="7A6B666A">
      <w:pPr>
        <w:rPr>
          <w:rFonts w:ascii="Times New Roman" w:hAnsi="Times New Roman" w:eastAsia="Times New Roman" w:cs="Times New Roman"/>
          <w:bCs/>
          <w:kern w:val="36"/>
          <w:sz w:val="24"/>
          <w:szCs w:val="24"/>
        </w:rPr>
      </w:pPr>
    </w:p>
    <w:p w14:paraId="0544F549">
      <w:pPr>
        <w:rPr>
          <w:rFonts w:ascii="Times New Roman" w:hAnsi="Times New Roman" w:eastAsia="Times New Roman" w:cs="Times New Roman"/>
          <w:bCs/>
          <w:kern w:val="36"/>
          <w:sz w:val="24"/>
          <w:szCs w:val="24"/>
        </w:rPr>
      </w:pPr>
    </w:p>
    <w:p w14:paraId="41829FE6">
      <w:pPr>
        <w:rPr>
          <w:rFonts w:ascii="Times New Roman" w:hAnsi="Times New Roman" w:eastAsia="Times New Roman" w:cs="Times New Roman"/>
          <w:bCs/>
          <w:kern w:val="36"/>
          <w:sz w:val="24"/>
          <w:szCs w:val="24"/>
        </w:rPr>
      </w:pPr>
    </w:p>
    <w:p w14:paraId="4B3D251A">
      <w:pPr>
        <w:rPr>
          <w:rFonts w:ascii="Times New Roman" w:hAnsi="Times New Roman" w:eastAsia="Times New Roman" w:cs="Times New Roman"/>
          <w:bCs/>
          <w:kern w:val="36"/>
          <w:sz w:val="24"/>
          <w:szCs w:val="24"/>
        </w:rPr>
      </w:pPr>
    </w:p>
    <w:p w14:paraId="03C53B87">
      <w:pPr>
        <w:rPr>
          <w:rFonts w:ascii="Times New Roman" w:hAnsi="Times New Roman" w:eastAsia="Times New Roman" w:cs="Times New Roman"/>
          <w:bCs/>
          <w:kern w:val="36"/>
          <w:sz w:val="24"/>
          <w:szCs w:val="24"/>
        </w:rPr>
      </w:pPr>
    </w:p>
    <w:p w14:paraId="40895ECB">
      <w:pPr>
        <w:rPr>
          <w:rFonts w:ascii="Times New Roman" w:hAnsi="Times New Roman" w:eastAsia="Times New Roman" w:cs="Times New Roman"/>
          <w:bCs/>
          <w:kern w:val="36"/>
          <w:sz w:val="24"/>
          <w:szCs w:val="24"/>
        </w:rPr>
      </w:pPr>
    </w:p>
    <w:p w14:paraId="710666C9">
      <w:pPr>
        <w:rPr>
          <w:rFonts w:ascii="Times New Roman" w:hAnsi="Times New Roman" w:eastAsia="Times New Roman" w:cs="Times New Roman"/>
          <w:bCs/>
          <w:kern w:val="36"/>
          <w:sz w:val="24"/>
          <w:szCs w:val="24"/>
        </w:rPr>
      </w:pPr>
      <w:bookmarkStart w:id="15" w:name="_Toc232552240"/>
      <w:r>
        <w:rPr>
          <w:rFonts w:ascii="Times New Roman" w:hAnsi="Times New Roman" w:eastAsia="Times New Roman" w:cs="Times New Roman"/>
          <w:bCs/>
          <w:kern w:val="36"/>
          <w:sz w:val="24"/>
          <w:szCs w:val="24"/>
        </w:rPr>
        <w:t> </w:t>
      </w:r>
      <w:bookmarkEnd w:id="15"/>
    </w:p>
    <w:p w14:paraId="1DA23371">
      <w:pPr>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br w:type="page"/>
      </w:r>
    </w:p>
    <w:p w14:paraId="729C4ACB">
      <w:pPr>
        <w:pStyle w:val="2"/>
        <w:ind w:left="2160" w:firstLine="720"/>
        <w:jc w:val="both"/>
        <w:rPr>
          <w:rStyle w:val="38"/>
          <w:rFonts w:ascii="Times New Roman" w:hAnsi="Times New Roman"/>
          <w:b/>
          <w:bCs/>
          <w:sz w:val="24"/>
          <w:szCs w:val="24"/>
        </w:rPr>
      </w:pPr>
      <w:bookmarkStart w:id="16" w:name="_Toc232552907"/>
      <w:bookmarkStart w:id="17" w:name="_Toc232552241"/>
      <w:r>
        <w:t>ACKNOWLEDGEMENT</w:t>
      </w:r>
      <w:bookmarkEnd w:id="16"/>
      <w:bookmarkEnd w:id="17"/>
      <w:r>
        <w:rPr>
          <w:lang w:val="en-US"/>
        </w:rPr>
        <w:t>S</w:t>
      </w:r>
    </w:p>
    <w:p w14:paraId="70EE384B">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I express my profound gratitude to my project supervisor, Dr. Onwa Ali Onwa, for his invaluable guidance, patience, encouragement, and unwavering support throughout the completion of this research. Your mentorship and commitment to this work made its successful completion possible. I sincerely appreciate you.</w:t>
      </w:r>
    </w:p>
    <w:p w14:paraId="7DF27A79">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I also wish to express my sincere appreciation to my lecturers, Dr. G.O. Omeh, Prof. F.O. Iloh, Prof. B.O. Okere, Assoc. Prof. Ajibo, Mrs. Nwakaego Ogbaji, and my academic adviser, Dr. Maureen Ujah, for their guidance, invaluable insights, and contributions to my academic development, all of which greatly influenced the successful completion of this work.</w:t>
      </w:r>
    </w:p>
    <w:p w14:paraId="5A515D15">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My deepest gratitude goes to my beloved mother—my Wonder Woman—who selflessly took on the responsibility of sponsoring my education from JSS 1 following the passing of my father. Your sacrifices, resilience, unwavering love, and countless prayers have brought me this far. I am forever indebted to you and will always be grateful.</w:t>
      </w:r>
    </w:p>
    <w:p w14:paraId="7E6CC278">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I also sincerely appreciate my wonderful siblings, Chidera, Oluchi, Amarachi, Chilotam, Nnaemeka, Chibusomma, and Nmesoma, for their constant encouragement, regular check-ins, financial support, and unwavering belief in me throughout my LL.B journey. I could not have asked for better siblings.</w:t>
      </w:r>
    </w:p>
    <w:p w14:paraId="2D6D7F9D">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I am equally grateful to my boss, Mr. Echezona, for his support, financial assistance, encouragement, and wise counsel. Thank you for making the office a safe haven whenever the demands of school became overwhelming. May God continue to bless and uplift you abundantly.</w:t>
      </w:r>
    </w:p>
    <w:p w14:paraId="5CC573FD">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My sincere appreciation also goes to my brothers-in-law for believing in my abilities, supporting me financially, encouraging me consistently, and standing by me throughout this journey. Your generosity, confidence in me, and unwavering support have contributed immensely to the achievement of this milestone. I am deeply grateful.</w:t>
      </w:r>
    </w:p>
    <w:p w14:paraId="1DFF9577">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I also wish to express my heartfelt gratitude to my Principal Partner, Dr. C. O. C. Egumgbe, whose inspiration gave birth to the idea for this research. Thank you for providing me with relevant research materials, offering invaluable guidance, and continually encouraging me throughout the course of this project. Your mentorship and support are greatly appreciated.</w:t>
      </w:r>
    </w:p>
    <w:p w14:paraId="7115C6ED">
      <w:pPr>
        <w:pStyle w:val="2"/>
        <w:jc w:val="both"/>
        <w:rPr>
          <w:rStyle w:val="38"/>
          <w:rFonts w:ascii="Times New Roman" w:hAnsi="Times New Roman"/>
          <w:b w:val="0"/>
          <w:bCs w:val="0"/>
          <w:kern w:val="0"/>
          <w:sz w:val="24"/>
          <w:szCs w:val="24"/>
          <w:lang w:eastAsia="en-GB"/>
        </w:rPr>
      </w:pPr>
      <w:r>
        <w:rPr>
          <w:rStyle w:val="38"/>
          <w:rFonts w:ascii="Times New Roman" w:hAnsi="Times New Roman"/>
          <w:b w:val="0"/>
          <w:bCs w:val="0"/>
          <w:kern w:val="0"/>
          <w:sz w:val="24"/>
          <w:szCs w:val="24"/>
          <w:lang w:eastAsia="en-GB"/>
        </w:rPr>
        <w:t>Finally, I extend my sincere appreciation to everyone who, in one way or another, contributed to the successful completion of this research. Whether through prayers, encouragement, financial assistance, advice, or moral support, your contributions have not gone unnoticed. May God richly bless you all.</w:t>
      </w:r>
    </w:p>
    <w:p w14:paraId="6B7D63FD">
      <w:pPr>
        <w:pStyle w:val="2"/>
        <w:jc w:val="both"/>
        <w:rPr>
          <w:rStyle w:val="38"/>
          <w:rFonts w:ascii="Times New Roman" w:hAnsi="Times New Roman"/>
          <w:b w:val="0"/>
          <w:bCs w:val="0"/>
          <w:kern w:val="0"/>
          <w:sz w:val="24"/>
          <w:szCs w:val="24"/>
          <w:lang w:eastAsia="en-GB"/>
        </w:rPr>
      </w:pPr>
    </w:p>
    <w:p w14:paraId="4471BE59">
      <w:pPr>
        <w:pStyle w:val="2"/>
        <w:jc w:val="both"/>
        <w:rPr>
          <w:rStyle w:val="38"/>
          <w:rFonts w:ascii="Times New Roman" w:hAnsi="Times New Roman"/>
          <w:b w:val="0"/>
          <w:bCs w:val="0"/>
          <w:kern w:val="0"/>
          <w:sz w:val="24"/>
          <w:szCs w:val="24"/>
          <w:lang w:eastAsia="en-GB"/>
        </w:rPr>
      </w:pPr>
    </w:p>
    <w:p w14:paraId="5AA0234A">
      <w:pPr>
        <w:pStyle w:val="2"/>
        <w:rPr>
          <w:rStyle w:val="38"/>
          <w:rFonts w:ascii="Times New Roman" w:hAnsi="Times New Roman"/>
          <w:b w:val="0"/>
          <w:bCs w:val="0"/>
          <w:kern w:val="0"/>
          <w:sz w:val="24"/>
          <w:szCs w:val="24"/>
          <w:lang w:eastAsia="en-GB"/>
        </w:rPr>
      </w:pPr>
    </w:p>
    <w:p w14:paraId="4C76A83F">
      <w:pPr>
        <w:pStyle w:val="2"/>
        <w:rPr>
          <w:rStyle w:val="38"/>
          <w:rFonts w:ascii="Times New Roman" w:hAnsi="Times New Roman"/>
          <w:b w:val="0"/>
          <w:bCs w:val="0"/>
          <w:kern w:val="0"/>
          <w:sz w:val="24"/>
          <w:szCs w:val="24"/>
          <w:lang w:eastAsia="en-GB"/>
        </w:rPr>
      </w:pPr>
    </w:p>
    <w:p w14:paraId="7F2154F8">
      <w:pPr>
        <w:pStyle w:val="2"/>
        <w:rPr>
          <w:rStyle w:val="38"/>
          <w:rFonts w:ascii="Times New Roman" w:hAnsi="Times New Roman"/>
          <w:b w:val="0"/>
          <w:bCs w:val="0"/>
          <w:kern w:val="0"/>
          <w:sz w:val="24"/>
          <w:szCs w:val="24"/>
          <w:lang w:eastAsia="en-GB"/>
        </w:rPr>
      </w:pPr>
    </w:p>
    <w:p w14:paraId="3CC5B75D">
      <w:pPr>
        <w:pStyle w:val="2"/>
        <w:rPr>
          <w:rStyle w:val="38"/>
          <w:rFonts w:ascii="Times New Roman" w:hAnsi="Times New Roman"/>
          <w:b w:val="0"/>
          <w:bCs w:val="0"/>
          <w:kern w:val="0"/>
          <w:sz w:val="24"/>
          <w:szCs w:val="24"/>
          <w:lang w:eastAsia="en-GB"/>
        </w:rPr>
      </w:pPr>
    </w:p>
    <w:p w14:paraId="08183BA3">
      <w:pPr>
        <w:pStyle w:val="2"/>
        <w:rPr>
          <w:rStyle w:val="38"/>
          <w:rFonts w:ascii="Times New Roman" w:hAnsi="Times New Roman"/>
          <w:b w:val="0"/>
          <w:bCs w:val="0"/>
          <w:kern w:val="0"/>
          <w:sz w:val="24"/>
          <w:szCs w:val="24"/>
          <w:lang w:eastAsia="en-GB"/>
        </w:rPr>
      </w:pPr>
    </w:p>
    <w:p w14:paraId="24B48F51">
      <w:pPr>
        <w:pStyle w:val="2"/>
        <w:rPr>
          <w:rStyle w:val="38"/>
          <w:rFonts w:ascii="Times New Roman" w:hAnsi="Times New Roman"/>
          <w:b w:val="0"/>
          <w:bCs w:val="0"/>
          <w:kern w:val="0"/>
          <w:sz w:val="24"/>
          <w:szCs w:val="24"/>
          <w:lang w:eastAsia="en-GB"/>
        </w:rPr>
      </w:pPr>
    </w:p>
    <w:p w14:paraId="3DEAEB9F">
      <w:pPr>
        <w:pStyle w:val="2"/>
        <w:rPr>
          <w:rStyle w:val="38"/>
          <w:rFonts w:ascii="Times New Roman" w:hAnsi="Times New Roman"/>
          <w:b w:val="0"/>
          <w:bCs w:val="0"/>
          <w:kern w:val="0"/>
          <w:sz w:val="24"/>
          <w:szCs w:val="24"/>
          <w:lang w:eastAsia="en-GB"/>
        </w:rPr>
      </w:pPr>
    </w:p>
    <w:p w14:paraId="25AB562F">
      <w:pPr>
        <w:ind w:left="2880" w:firstLine="720"/>
        <w:rPr>
          <w:rFonts w:ascii="Times New Roman" w:hAnsi="Times New Roman" w:cs="Times New Roman"/>
          <w:b/>
          <w:bCs/>
          <w:kern w:val="36"/>
          <w:sz w:val="24"/>
          <w:szCs w:val="24"/>
        </w:rPr>
      </w:pPr>
    </w:p>
    <w:p w14:paraId="2B19BCA6">
      <w:pPr>
        <w:ind w:left="2880" w:firstLine="720"/>
        <w:rPr>
          <w:kern w:val="36"/>
        </w:rPr>
        <w:sectPr>
          <w:pgSz w:w="11907" w:h="16839"/>
          <w:pgMar w:top="1440" w:right="1440" w:bottom="1440" w:left="1440" w:header="720" w:footer="720" w:gutter="0"/>
          <w:cols w:space="720" w:num="1"/>
          <w:docGrid w:linePitch="360" w:charSpace="0"/>
        </w:sectPr>
      </w:pPr>
      <w:r>
        <w:rPr>
          <w:rFonts w:ascii="Times New Roman" w:hAnsi="Times New Roman" w:cs="Times New Roman"/>
          <w:b/>
          <w:bCs/>
          <w:kern w:val="36"/>
          <w:sz w:val="24"/>
          <w:szCs w:val="24"/>
        </w:rPr>
        <w:tab/>
      </w:r>
      <w:r>
        <w:rPr>
          <w:rFonts w:ascii="Times New Roman" w:hAnsi="Times New Roman" w:cs="Times New Roman"/>
          <w:b/>
          <w:bCs/>
          <w:kern w:val="36"/>
          <w:sz w:val="24"/>
          <w:szCs w:val="24"/>
        </w:rPr>
        <w:tab/>
      </w:r>
    </w:p>
    <w:p w14:paraId="36CDBCC4">
      <w:pPr>
        <w:pStyle w:val="2"/>
        <w:ind w:left="2880" w:firstLine="720"/>
        <w:jc w:val="left"/>
      </w:pPr>
      <w:bookmarkStart w:id="18" w:name="_Toc232552248"/>
      <w:bookmarkStart w:id="19" w:name="_Toc232552912"/>
      <w:r>
        <w:t>ABSTRACT</w:t>
      </w:r>
      <w:bookmarkEnd w:id="18"/>
      <w:bookmarkEnd w:id="19"/>
    </w:p>
    <w:p w14:paraId="0DCF80D9">
      <w:pPr>
        <w:jc w:val="both"/>
        <w:rPr>
          <w:rFonts w:ascii="Times New Roman" w:hAnsi="Times New Roman" w:eastAsia="Times New Roman" w:cs="Times New Roman"/>
          <w:kern w:val="36"/>
          <w:sz w:val="24"/>
          <w:szCs w:val="24"/>
          <w:lang w:val="en-US"/>
        </w:rPr>
      </w:pPr>
      <w:bookmarkStart w:id="20" w:name="_Toc232552249"/>
      <w:r>
        <w:rPr>
          <w:rFonts w:ascii="Times New Roman" w:hAnsi="Times New Roman" w:eastAsia="Times New Roman" w:cs="Times New Roman"/>
          <w:kern w:val="36"/>
          <w:sz w:val="24"/>
          <w:szCs w:val="24"/>
          <w:lang w:val="en-US"/>
        </w:rPr>
        <w:t>The Land Use Act remains the legislation which regulates the administration of land in Nigeria. It vests land in each state in the Governor, establishes statutory and customary rights of occupancy, regulates alienation, revocation, compensation and resettlement. These responsibilities are distributed between State Governors and Local Governments. However, more than four decades after its enactment there persists challenges which impact its operation. Therefore, this research appraises the Land Use Act, Cap L5, Laws of the Federation of Nigeria 2004, and, in doing so, elucidate the need for its amendment. The study adopted the doctrinal methodology. Primary sources examined include the Constitution of the Federal Republic of Nigeria 1999, the Land Use Act, relevant state land-registration and planning legislation, and judicial decisions. Secondary sources include textbooks, journal articles and scholarly commentaries. The study found that the power of land-administration is concentrated excessively on the State Governor. Even so, there is no independent supervision or enforceable obligations. It also found that there is uncertainty in regards to the meaning of vesting, the nature of rights of occupancy and the effect of certificates of occupancy. The requirement for Governor’s consent contributes to delay and uncertainty in land transactions. Furthermore, the provisions which govern revocation and compensation do not protect landholders adequately. The act is entrenched under section 315(5)(d) of the constitution and this obstructs reform. The study recommends that; the Act should be removed from constitutional entrenchment; the powers of the governor should be controlled; rights of occupancy should be clarified. The process for obtaining consent should simplified; compensation should cover the market value; customary interests should be documented; land records should be digitised. This project concludes that a reform is necessary in the administration of land in Nigeria.</w:t>
      </w:r>
      <w:bookmarkEnd w:id="20"/>
    </w:p>
    <w:p w14:paraId="7EE33519">
      <w:pPr>
        <w:jc w:val="both"/>
        <w:rPr>
          <w:rFonts w:ascii="Times New Roman" w:hAnsi="Times New Roman" w:eastAsia="Times New Roman" w:cs="Times New Roman"/>
          <w:kern w:val="36"/>
          <w:sz w:val="24"/>
          <w:szCs w:val="24"/>
          <w:lang w:val="en-US"/>
        </w:rPr>
      </w:pPr>
    </w:p>
    <w:p w14:paraId="75F79238">
      <w:pPr>
        <w:jc w:val="both"/>
        <w:rPr>
          <w:rFonts w:ascii="Times New Roman" w:hAnsi="Times New Roman" w:eastAsia="Times New Roman" w:cs="Times New Roman"/>
          <w:kern w:val="36"/>
          <w:sz w:val="24"/>
          <w:szCs w:val="24"/>
          <w:lang w:val="en-US"/>
        </w:rPr>
      </w:pPr>
    </w:p>
    <w:p w14:paraId="743273DC">
      <w:pPr>
        <w:jc w:val="both"/>
        <w:rPr>
          <w:rFonts w:ascii="Times New Roman" w:hAnsi="Times New Roman" w:eastAsia="Times New Roman" w:cs="Times New Roman"/>
          <w:kern w:val="36"/>
          <w:sz w:val="24"/>
          <w:szCs w:val="24"/>
          <w:lang w:val="en-US"/>
        </w:rPr>
      </w:pPr>
    </w:p>
    <w:p w14:paraId="14A7E558">
      <w:pPr>
        <w:jc w:val="both"/>
        <w:rPr>
          <w:rFonts w:ascii="Times New Roman" w:hAnsi="Times New Roman" w:eastAsia="Times New Roman" w:cs="Times New Roman"/>
          <w:kern w:val="36"/>
          <w:sz w:val="24"/>
          <w:szCs w:val="24"/>
          <w:lang w:val="en-US"/>
        </w:rPr>
      </w:pPr>
    </w:p>
    <w:p w14:paraId="5320BF51">
      <w:pPr>
        <w:jc w:val="both"/>
        <w:rPr>
          <w:rFonts w:ascii="Times New Roman" w:hAnsi="Times New Roman" w:eastAsia="Times New Roman" w:cs="Times New Roman"/>
          <w:kern w:val="36"/>
          <w:sz w:val="24"/>
          <w:szCs w:val="24"/>
          <w:lang w:val="en-US"/>
        </w:rPr>
      </w:pPr>
    </w:p>
    <w:p w14:paraId="1CAB3448">
      <w:pPr>
        <w:jc w:val="both"/>
        <w:rPr>
          <w:rFonts w:ascii="Times New Roman" w:hAnsi="Times New Roman" w:eastAsia="Times New Roman" w:cs="Times New Roman"/>
          <w:kern w:val="36"/>
          <w:sz w:val="24"/>
          <w:szCs w:val="24"/>
          <w:lang w:val="en-US"/>
        </w:rPr>
      </w:pPr>
    </w:p>
    <w:p w14:paraId="24A66308">
      <w:pPr>
        <w:jc w:val="both"/>
        <w:rPr>
          <w:rFonts w:ascii="Times New Roman" w:hAnsi="Times New Roman" w:eastAsia="Times New Roman" w:cs="Times New Roman"/>
          <w:kern w:val="36"/>
          <w:sz w:val="24"/>
          <w:szCs w:val="24"/>
          <w:lang w:val="en-US"/>
        </w:rPr>
      </w:pPr>
    </w:p>
    <w:p w14:paraId="7DA460A1">
      <w:pPr>
        <w:jc w:val="both"/>
        <w:rPr>
          <w:rFonts w:ascii="Times New Roman" w:hAnsi="Times New Roman" w:eastAsia="Times New Roman" w:cs="Times New Roman"/>
          <w:kern w:val="36"/>
          <w:sz w:val="24"/>
          <w:szCs w:val="24"/>
          <w:lang w:val="en-US"/>
        </w:rPr>
      </w:pPr>
    </w:p>
    <w:p w14:paraId="17DDFFE2">
      <w:pPr>
        <w:jc w:val="both"/>
        <w:rPr>
          <w:rFonts w:ascii="Times New Roman" w:hAnsi="Times New Roman" w:eastAsia="Times New Roman" w:cs="Times New Roman"/>
          <w:kern w:val="36"/>
          <w:sz w:val="24"/>
          <w:szCs w:val="24"/>
          <w:lang w:val="en-US"/>
        </w:rPr>
      </w:pPr>
    </w:p>
    <w:p w14:paraId="499C727F">
      <w:pPr>
        <w:jc w:val="both"/>
        <w:rPr>
          <w:rFonts w:ascii="Times New Roman" w:hAnsi="Times New Roman" w:eastAsia="Times New Roman" w:cs="Times New Roman"/>
          <w:kern w:val="36"/>
          <w:sz w:val="24"/>
          <w:szCs w:val="24"/>
          <w:lang w:val="en-US"/>
        </w:rPr>
      </w:pPr>
    </w:p>
    <w:p w14:paraId="0AB0ED0F">
      <w:pPr>
        <w:jc w:val="both"/>
        <w:rPr>
          <w:rFonts w:ascii="Times New Roman" w:hAnsi="Times New Roman" w:eastAsia="Times New Roman" w:cs="Times New Roman"/>
          <w:kern w:val="36"/>
          <w:sz w:val="24"/>
          <w:szCs w:val="24"/>
          <w:lang w:val="en-US"/>
        </w:rPr>
      </w:pPr>
    </w:p>
    <w:p w14:paraId="7CF44D04">
      <w:pPr>
        <w:pStyle w:val="2"/>
      </w:pPr>
      <w:r>
        <w:t>TABLE OF CONTENT</w:t>
      </w:r>
    </w:p>
    <w:sdt>
      <w:sdtPr>
        <w:rPr>
          <w:rFonts w:ascii="Times New Roman" w:hAnsi="Times New Roman" w:cs="Times New Roman" w:eastAsiaTheme="minorHAnsi"/>
          <w:b w:val="0"/>
          <w:bCs w:val="0"/>
          <w:color w:val="auto"/>
          <w:sz w:val="22"/>
          <w:szCs w:val="22"/>
          <w:lang w:val="en-GB"/>
        </w:rPr>
        <w:id w:val="-99653175"/>
      </w:sdtPr>
      <w:sdtEndPr>
        <w:rPr>
          <w:rFonts w:asciiTheme="minorHAnsi" w:hAnsiTheme="minorHAnsi" w:eastAsiaTheme="minorHAnsi" w:cstheme="minorBidi"/>
          <w:b w:val="0"/>
          <w:bCs w:val="0"/>
          <w:color w:val="auto"/>
          <w:sz w:val="22"/>
          <w:szCs w:val="22"/>
          <w:lang w:val="en-GB"/>
        </w:rPr>
      </w:sdtEndPr>
      <w:sdtContent>
        <w:p w14:paraId="433B8338">
          <w:pPr>
            <w:pStyle w:val="34"/>
            <w:rPr>
              <w:rFonts w:ascii="Times New Roman" w:hAnsi="Times New Roman" w:cs="Times New Roman"/>
            </w:rPr>
          </w:pPr>
        </w:p>
        <w:p w14:paraId="5D25E36B">
          <w:pPr>
            <w:pStyle w:val="11"/>
            <w:tabs>
              <w:tab w:val="right" w:leader="dot" w:pos="9017"/>
            </w:tabs>
            <w:rPr>
              <w:rFonts w:ascii="Times New Roman" w:hAnsi="Times New Roman" w:cs="Times New Roman" w:eastAsiaTheme="minorEastAsia"/>
              <w:lang w:val="en-US"/>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"_Toc232552903" </w:instrText>
          </w:r>
          <w:r>
            <w:fldChar w:fldCharType="separate"/>
          </w:r>
          <w:r>
            <w:rPr>
              <w:rStyle w:val="23"/>
              <w:rFonts w:ascii="Times New Roman" w:hAnsi="Times New Roman" w:cs="Times New Roman"/>
            </w:rPr>
            <w:t>TITLE PAGE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_Toc232552903 \h </w:instrText>
          </w:r>
          <w:r>
            <w:rPr>
              <w:rFonts w:ascii="Times New Roman" w:hAnsi="Times New Roman" w:cs="Times New Roman"/>
            </w:rPr>
            <w:fldChar w:fldCharType="separate"/>
          </w:r>
          <w:r>
            <w:rPr>
              <w:rFonts w:ascii="Times New Roman" w:hAnsi="Times New Roman" w:cs="Times New Roman"/>
            </w:rPr>
            <w:t>i</w:t>
          </w:r>
          <w:r>
            <w:rPr>
              <w:rFonts w:ascii="Times New Roman" w:hAnsi="Times New Roman" w:cs="Times New Roman"/>
            </w:rPr>
            <w:fldChar w:fldCharType="end"/>
          </w:r>
          <w:r>
            <w:rPr>
              <w:rFonts w:ascii="Times New Roman" w:hAnsi="Times New Roman" w:cs="Times New Roman"/>
            </w:rPr>
            <w:fldChar w:fldCharType="end"/>
          </w:r>
        </w:p>
        <w:p w14:paraId="1192652D">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"_Toc232552904" </w:instrText>
          </w:r>
          <w:r>
            <w:fldChar w:fldCharType="separate"/>
          </w:r>
          <w:r>
            <w:rPr>
              <w:rStyle w:val="23"/>
              <w:rFonts w:ascii="Times New Roman" w:hAnsi="Times New Roman" w:cs="Times New Roman"/>
            </w:rPr>
            <w:t>DECLARATION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_Toc232552904 \h </w:instrText>
          </w:r>
          <w:r>
            <w:rPr>
              <w:rFonts w:ascii="Times New Roman" w:hAnsi="Times New Roman" w:cs="Times New Roman"/>
            </w:rPr>
            <w:fldChar w:fldCharType="separate"/>
          </w:r>
          <w:r>
            <w:rPr>
              <w:rFonts w:ascii="Times New Roman" w:hAnsi="Times New Roman" w:cs="Times New Roman"/>
            </w:rPr>
            <w:t>ii</w:t>
          </w:r>
          <w:r>
            <w:rPr>
              <w:rFonts w:ascii="Times New Roman" w:hAnsi="Times New Roman" w:cs="Times New Roman"/>
            </w:rPr>
            <w:fldChar w:fldCharType="end"/>
          </w:r>
          <w:r>
            <w:rPr>
              <w:rFonts w:ascii="Times New Roman" w:hAnsi="Times New Roman" w:cs="Times New Roman"/>
            </w:rPr>
            <w:fldChar w:fldCharType="end"/>
          </w:r>
        </w:p>
        <w:p w14:paraId="38403901">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"_Toc232552905" </w:instrText>
          </w:r>
          <w:r>
            <w:fldChar w:fldCharType="separate"/>
          </w:r>
          <w:r>
            <w:rPr>
              <w:rStyle w:val="23"/>
              <w:rFonts w:ascii="Times New Roman" w:hAnsi="Times New Roman" w:cs="Times New Roman"/>
            </w:rPr>
            <w:t>APPROVAL PAGE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_Toc232552905 \h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fldChar w:fldCharType="end"/>
          </w:r>
        </w:p>
        <w:p w14:paraId="12D7A40C">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"_Toc232552906" </w:instrText>
          </w:r>
          <w:r>
            <w:fldChar w:fldCharType="separate"/>
          </w:r>
          <w:r>
            <w:rPr>
              <w:rStyle w:val="23"/>
              <w:rFonts w:ascii="Times New Roman" w:hAnsi="Times New Roman" w:cs="Times New Roman"/>
            </w:rPr>
            <w:t>DEDICATION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_Toc232552906 \h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r>
            <w:rPr>
              <w:rFonts w:ascii="Times New Roman" w:hAnsi="Times New Roman" w:cs="Times New Roman"/>
            </w:rPr>
            <w:fldChar w:fldCharType="end"/>
          </w:r>
        </w:p>
        <w:p w14:paraId="75BD1B2D">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"_Toc232552907" </w:instrText>
          </w:r>
          <w:r>
            <w:fldChar w:fldCharType="separate"/>
          </w:r>
          <w:r>
            <w:rPr>
              <w:rStyle w:val="23"/>
              <w:rFonts w:ascii="Times New Roman" w:hAnsi="Times New Roman" w:cs="Times New Roman"/>
            </w:rPr>
            <w:t>ACKNOWLEDGEMENTS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_Toc232552907 \h </w:instrText>
          </w:r>
          <w:r>
            <w:rPr>
              <w:rFonts w:ascii="Times New Roman" w:hAnsi="Times New Roman" w:cs="Times New Roman"/>
            </w:rPr>
            <w:fldChar w:fldCharType="separate"/>
          </w:r>
          <w:r>
            <w:rPr>
              <w:rFonts w:ascii="Times New Roman" w:hAnsi="Times New Roman" w:cs="Times New Roman"/>
            </w:rPr>
            <w:t>v</w:t>
          </w:r>
          <w:r>
            <w:rPr>
              <w:rFonts w:ascii="Times New Roman" w:hAnsi="Times New Roman" w:cs="Times New Roman"/>
            </w:rPr>
            <w:fldChar w:fldCharType="end"/>
          </w:r>
          <w:r>
            <w:rPr>
              <w:rFonts w:ascii="Times New Roman" w:hAnsi="Times New Roman" w:cs="Times New Roman"/>
            </w:rPr>
            <w:fldChar w:fldCharType="end"/>
          </w:r>
        </w:p>
        <w:p w14:paraId="72C87DBD">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"_Toc232552908" </w:instrText>
          </w:r>
          <w:r>
            <w:fldChar w:fldCharType="separate"/>
          </w:r>
          <w:r>
            <w:rPr>
              <w:rStyle w:val="23"/>
              <w:rFonts w:ascii="Times New Roman" w:hAnsi="Times New Roman" w:cs="Times New Roman"/>
            </w:rPr>
            <w:t>TABLE OF CONTENT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_Toc232552908 \h </w:instrText>
          </w:r>
          <w:r>
            <w:rPr>
              <w:rFonts w:ascii="Times New Roman" w:hAnsi="Times New Roman" w:cs="Times New Roman"/>
            </w:rPr>
            <w:fldChar w:fldCharType="separate"/>
          </w:r>
          <w:r>
            <w:rPr>
              <w:rFonts w:ascii="Times New Roman" w:hAnsi="Times New Roman" w:cs="Times New Roman"/>
            </w:rPr>
            <w:t>vi</w:t>
          </w:r>
          <w:r>
            <w:rPr>
              <w:rFonts w:ascii="Times New Roman" w:hAnsi="Times New Roman" w:cs="Times New Roman"/>
            </w:rPr>
            <w:fldChar w:fldCharType="end"/>
          </w:r>
          <w:r>
            <w:rPr>
              <w:rFonts w:ascii="Times New Roman" w:hAnsi="Times New Roman" w:cs="Times New Roman"/>
            </w:rPr>
            <w:fldChar w:fldCharType="end"/>
          </w:r>
        </w:p>
        <w:p w14:paraId="108CA72F">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"_Toc232552909" </w:instrText>
          </w:r>
          <w:r>
            <w:fldChar w:fldCharType="separate"/>
          </w:r>
          <w:r>
            <w:rPr>
              <w:rStyle w:val="23"/>
              <w:rFonts w:ascii="Times New Roman" w:hAnsi="Times New Roman" w:cs="Times New Roman"/>
            </w:rPr>
            <w:t>LIST OF CASES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_Toc232552909 \h </w:instrText>
          </w:r>
          <w:r>
            <w:rPr>
              <w:rFonts w:ascii="Times New Roman" w:hAnsi="Times New Roman" w:cs="Times New Roman"/>
            </w:rPr>
            <w:fldChar w:fldCharType="separate"/>
          </w:r>
          <w:r>
            <w:rPr>
              <w:rFonts w:ascii="Times New Roman" w:hAnsi="Times New Roman" w:cs="Times New Roman"/>
            </w:rPr>
            <w:t>ix</w:t>
          </w:r>
          <w:r>
            <w:rPr>
              <w:rFonts w:ascii="Times New Roman" w:hAnsi="Times New Roman" w:cs="Times New Roman"/>
            </w:rPr>
            <w:fldChar w:fldCharType="end"/>
          </w:r>
          <w:r>
            <w:rPr>
              <w:rFonts w:ascii="Times New Roman" w:hAnsi="Times New Roman" w:cs="Times New Roman"/>
            </w:rPr>
            <w:fldChar w:fldCharType="end"/>
          </w:r>
        </w:p>
        <w:p w14:paraId="7EF682B9">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"_Toc232552910" </w:instrText>
          </w:r>
          <w:r>
            <w:fldChar w:fldCharType="separate"/>
          </w:r>
          <w:r>
            <w:rPr>
              <w:rStyle w:val="23"/>
              <w:rFonts w:ascii="Times New Roman" w:hAnsi="Times New Roman" w:cs="Times New Roman"/>
            </w:rPr>
            <w:t>LIST OF STATUTES, TREATIES AND OTHER INTERNATIONAL INSTRUMENTS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_Toc232552910 \h </w:instrText>
          </w:r>
          <w:r>
            <w:rPr>
              <w:rFonts w:ascii="Times New Roman" w:hAnsi="Times New Roman" w:cs="Times New Roman"/>
            </w:rPr>
            <w:fldChar w:fldCharType="separate"/>
          </w:r>
          <w:r>
            <w:rPr>
              <w:rFonts w:ascii="Times New Roman" w:hAnsi="Times New Roman" w:cs="Times New Roman"/>
            </w:rPr>
            <w:t>x</w:t>
          </w:r>
          <w:r>
            <w:rPr>
              <w:rFonts w:ascii="Times New Roman" w:hAnsi="Times New Roman" w:cs="Times New Roman"/>
            </w:rPr>
            <w:fldChar w:fldCharType="end"/>
          </w:r>
          <w:r>
            <w:rPr>
              <w:rFonts w:ascii="Times New Roman" w:hAnsi="Times New Roman" w:cs="Times New Roman"/>
            </w:rPr>
            <w:fldChar w:fldCharType="end"/>
          </w:r>
        </w:p>
        <w:p w14:paraId="5201EC71">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"_Toc232552911" </w:instrText>
          </w:r>
          <w:r>
            <w:fldChar w:fldCharType="separate"/>
          </w:r>
          <w:r>
            <w:rPr>
              <w:rStyle w:val="23"/>
              <w:rFonts w:ascii="Times New Roman" w:hAnsi="Times New Roman" w:cs="Times New Roman"/>
            </w:rPr>
            <w:t>LIST OF ABBREVIATIONS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_Toc232552911 \h </w:instrText>
          </w:r>
          <w:r>
            <w:rPr>
              <w:rFonts w:ascii="Times New Roman" w:hAnsi="Times New Roman" w:cs="Times New Roman"/>
            </w:rPr>
            <w:fldChar w:fldCharType="separate"/>
          </w:r>
          <w:r>
            <w:rPr>
              <w:rFonts w:ascii="Times New Roman" w:hAnsi="Times New Roman" w:cs="Times New Roman"/>
            </w:rPr>
            <w:t>xi</w:t>
          </w:r>
          <w:r>
            <w:rPr>
              <w:rFonts w:ascii="Times New Roman" w:hAnsi="Times New Roman" w:cs="Times New Roman"/>
            </w:rPr>
            <w:fldChar w:fldCharType="end"/>
          </w:r>
          <w:r>
            <w:rPr>
              <w:rFonts w:ascii="Times New Roman" w:hAnsi="Times New Roman" w:cs="Times New Roman"/>
            </w:rPr>
            <w:fldChar w:fldCharType="end"/>
          </w:r>
        </w:p>
        <w:p w14:paraId="2ED880FF">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"_Toc232552912" </w:instrText>
          </w:r>
          <w:r>
            <w:fldChar w:fldCharType="separate"/>
          </w:r>
          <w:r>
            <w:rPr>
              <w:rStyle w:val="23"/>
              <w:rFonts w:ascii="Times New Roman" w:hAnsi="Times New Roman" w:cs="Times New Roman"/>
            </w:rPr>
            <w:t>ABSTRACT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_Toc232552912 \h </w:instrText>
          </w:r>
          <w:r>
            <w:rPr>
              <w:rFonts w:ascii="Times New Roman" w:hAnsi="Times New Roman" w:cs="Times New Roman"/>
            </w:rPr>
            <w:fldChar w:fldCharType="separate"/>
          </w:r>
          <w:r>
            <w:rPr>
              <w:rFonts w:ascii="Times New Roman" w:hAnsi="Times New Roman" w:cs="Times New Roman"/>
            </w:rPr>
            <w:t>xii</w:t>
          </w:r>
          <w:r>
            <w:rPr>
              <w:rFonts w:ascii="Times New Roman" w:hAnsi="Times New Roman" w:cs="Times New Roman"/>
            </w:rPr>
            <w:fldChar w:fldCharType="end"/>
          </w:r>
          <w:r>
            <w:rPr>
              <w:rFonts w:ascii="Times New Roman" w:hAnsi="Times New Roman" w:cs="Times New Roman"/>
            </w:rPr>
            <w:fldChar w:fldCharType="end"/>
          </w:r>
        </w:p>
        <w:p w14:paraId="42D9773A">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"_Toc232552913" </w:instrText>
          </w:r>
          <w:r>
            <w:fldChar w:fldCharType="separate"/>
          </w:r>
          <w:r>
            <w:rPr>
              <w:rStyle w:val="23"/>
              <w:rFonts w:ascii="Times New Roman" w:hAnsi="Times New Roman" w:cs="Times New Roman"/>
            </w:rPr>
            <w:t>CHAPTER ONE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_Toc232552913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2BBFB594">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"_Toc232552914" </w:instrText>
          </w:r>
          <w:r>
            <w:fldChar w:fldCharType="separate"/>
          </w:r>
          <w:r>
            <w:rPr>
              <w:rStyle w:val="23"/>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74A5A982">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"_Toc232552915" </w:instrText>
          </w:r>
          <w:r>
            <w:fldChar w:fldCharType="separate"/>
          </w:r>
          <w:r>
            <w:rPr>
              <w:rStyle w:val="23"/>
              <w:rFonts w:ascii="Times New Roman" w:hAnsi="Times New Roman" w:cs="Times New Roman"/>
            </w:rPr>
            <w:t xml:space="preserve">1.1 </w:t>
          </w:r>
          <w:r>
            <w:rPr>
              <w:rFonts w:ascii="Times New Roman" w:hAnsi="Times New Roman" w:cs="Times New Roman" w:eastAsiaTheme="minorEastAsia"/>
              <w:lang w:val="en-US"/>
            </w:rPr>
            <w:tab/>
          </w:r>
          <w:r>
            <w:rPr>
              <w:rStyle w:val="23"/>
              <w:rFonts w:ascii="Times New Roman" w:hAnsi="Times New Roman" w:cs="Times New Roman"/>
            </w:rPr>
            <w:t>Background to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_Toc232552915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1264C9A7">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"_Toc232552916" </w:instrText>
          </w:r>
          <w:r>
            <w:fldChar w:fldCharType="separate"/>
          </w:r>
          <w:r>
            <w:rPr>
              <w:rStyle w:val="23"/>
              <w:rFonts w:ascii="Times New Roman" w:hAnsi="Times New Roman" w:cs="Times New Roman"/>
            </w:rPr>
            <w:t xml:space="preserve">1.2 </w:t>
          </w:r>
          <w:r>
            <w:rPr>
              <w:rFonts w:ascii="Times New Roman" w:hAnsi="Times New Roman" w:cs="Times New Roman" w:eastAsiaTheme="minorEastAsia"/>
              <w:lang w:val="en-US"/>
            </w:rPr>
            <w:tab/>
          </w:r>
          <w:r>
            <w:rPr>
              <w:rStyle w:val="23"/>
              <w:rFonts w:ascii="Times New Roman" w:hAnsi="Times New Roman" w:cs="Times New Roman"/>
            </w:rPr>
            <w:t>Statement of the Problem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_Toc232552916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14:paraId="3F98D506">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"_Toc232552917" </w:instrText>
          </w:r>
          <w:r>
            <w:fldChar w:fldCharType="separate"/>
          </w:r>
          <w:r>
            <w:rPr>
              <w:rStyle w:val="23"/>
              <w:rFonts w:ascii="Times New Roman" w:hAnsi="Times New Roman" w:cs="Times New Roman"/>
            </w:rPr>
            <w:t xml:space="preserve">1.3 </w:t>
          </w:r>
          <w:r>
            <w:rPr>
              <w:rFonts w:ascii="Times New Roman" w:hAnsi="Times New Roman" w:cs="Times New Roman" w:eastAsiaTheme="minorEastAsia"/>
              <w:lang w:val="en-US"/>
            </w:rPr>
            <w:tab/>
          </w:r>
          <w:r>
            <w:rPr>
              <w:rStyle w:val="23"/>
              <w:rFonts w:ascii="Times New Roman" w:hAnsi="Times New Roman" w:cs="Times New Roman"/>
            </w:rPr>
            <w:t>Research Questions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_Toc232552917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14:paraId="65311A59">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"_Toc232552918" </w:instrText>
          </w:r>
          <w:r>
            <w:fldChar w:fldCharType="separate"/>
          </w:r>
          <w:r>
            <w:rPr>
              <w:rStyle w:val="23"/>
              <w:rFonts w:ascii="Times New Roman" w:hAnsi="Times New Roman" w:cs="Times New Roman"/>
            </w:rPr>
            <w:t xml:space="preserve">1.4 </w:t>
          </w:r>
          <w:r>
            <w:rPr>
              <w:rFonts w:ascii="Times New Roman" w:hAnsi="Times New Roman" w:cs="Times New Roman" w:eastAsiaTheme="minorEastAsia"/>
              <w:lang w:val="en-US"/>
            </w:rPr>
            <w:tab/>
          </w:r>
          <w:r>
            <w:rPr>
              <w:rStyle w:val="23"/>
              <w:rFonts w:ascii="Times New Roman" w:hAnsi="Times New Roman" w:cs="Times New Roman"/>
            </w:rPr>
            <w:t>Aim and Objectives of the Research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_Toc232552918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14:paraId="27CCBA00">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"_Toc232552919" </w:instrText>
          </w:r>
          <w:r>
            <w:fldChar w:fldCharType="separate"/>
          </w:r>
          <w:r>
            <w:rPr>
              <w:rStyle w:val="23"/>
              <w:rFonts w:ascii="Times New Roman" w:hAnsi="Times New Roman" w:cs="Times New Roman"/>
            </w:rPr>
            <w:t xml:space="preserve">1.5 </w:t>
          </w:r>
          <w:r>
            <w:rPr>
              <w:rFonts w:ascii="Times New Roman" w:hAnsi="Times New Roman" w:cs="Times New Roman" w:eastAsiaTheme="minorEastAsia"/>
              <w:lang w:val="en-US"/>
            </w:rPr>
            <w:tab/>
          </w:r>
          <w:r>
            <w:rPr>
              <w:rStyle w:val="23"/>
              <w:rFonts w:ascii="Times New Roman" w:hAnsi="Times New Roman" w:cs="Times New Roman"/>
            </w:rPr>
            <w:t>Research Methodology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_Toc232552919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14:paraId="74085A87">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"_Toc232552920" </w:instrText>
          </w:r>
          <w:r>
            <w:fldChar w:fldCharType="separate"/>
          </w:r>
          <w:r>
            <w:rPr>
              <w:rStyle w:val="23"/>
              <w:rFonts w:ascii="Times New Roman" w:hAnsi="Times New Roman" w:cs="Times New Roman"/>
            </w:rPr>
            <w:t xml:space="preserve">1.6 </w:t>
          </w:r>
          <w:r>
            <w:rPr>
              <w:rFonts w:ascii="Times New Roman" w:hAnsi="Times New Roman" w:cs="Times New Roman" w:eastAsiaTheme="minorEastAsia"/>
              <w:lang w:val="en-US"/>
            </w:rPr>
            <w:tab/>
          </w:r>
          <w:r>
            <w:rPr>
              <w:rStyle w:val="23"/>
              <w:rFonts w:ascii="Times New Roman" w:hAnsi="Times New Roman" w:cs="Times New Roman"/>
            </w:rPr>
            <w:t>Scope and Limitation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_Toc232552920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7F85E6A6">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"_Toc232552921" </w:instrText>
          </w:r>
          <w:r>
            <w:fldChar w:fldCharType="separate"/>
          </w:r>
          <w:r>
            <w:rPr>
              <w:rStyle w:val="23"/>
              <w:rFonts w:ascii="Times New Roman" w:hAnsi="Times New Roman" w:cs="Times New Roman"/>
            </w:rPr>
            <w:t xml:space="preserve">1.7 </w:t>
          </w:r>
          <w:r>
            <w:rPr>
              <w:rFonts w:ascii="Times New Roman" w:hAnsi="Times New Roman" w:cs="Times New Roman" w:eastAsiaTheme="minorEastAsia"/>
              <w:lang w:val="en-US"/>
            </w:rPr>
            <w:tab/>
          </w:r>
          <w:r>
            <w:rPr>
              <w:rStyle w:val="23"/>
              <w:rFonts w:ascii="Times New Roman" w:hAnsi="Times New Roman" w:cs="Times New Roman"/>
            </w:rPr>
            <w:t>Significance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_Toc232552921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4EEE6703">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"_Toc232552922" </w:instrText>
          </w:r>
          <w:r>
            <w:fldChar w:fldCharType="separate"/>
          </w:r>
          <w:r>
            <w:rPr>
              <w:rStyle w:val="23"/>
              <w:rFonts w:ascii="Times New Roman" w:hAnsi="Times New Roman" w:cs="Times New Roman"/>
            </w:rPr>
            <w:t xml:space="preserve">1.8 </w:t>
          </w:r>
          <w:r>
            <w:rPr>
              <w:rFonts w:ascii="Times New Roman" w:hAnsi="Times New Roman" w:cs="Times New Roman" w:eastAsiaTheme="minorEastAsia"/>
              <w:lang w:val="en-US"/>
            </w:rPr>
            <w:tab/>
          </w:r>
          <w:r>
            <w:rPr>
              <w:rStyle w:val="23"/>
              <w:rFonts w:ascii="Times New Roman" w:hAnsi="Times New Roman" w:cs="Times New Roman"/>
            </w:rPr>
            <w:t>Literature Review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_Toc232552922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14:paraId="2AF2CFE8">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"_Toc232552923" </w:instrText>
          </w:r>
          <w:r>
            <w:fldChar w:fldCharType="separate"/>
          </w:r>
          <w:r>
            <w:rPr>
              <w:rStyle w:val="23"/>
              <w:rFonts w:ascii="Times New Roman" w:hAnsi="Times New Roman" w:cs="Times New Roman"/>
            </w:rPr>
            <w:t>CHAPTER TWO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_Toc232552923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401ECDC0">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"_Toc232552924" </w:instrText>
          </w:r>
          <w:r>
            <w:fldChar w:fldCharType="separate"/>
          </w:r>
          <w:r>
            <w:rPr>
              <w:rStyle w:val="23"/>
              <w:rFonts w:ascii="Times New Roman" w:hAnsi="Times New Roman" w:cs="Times New Roman"/>
            </w:rPr>
            <w:t>CONCEPTUAL AND THEORETICAL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_Toc232552924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78C809C0">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"_Toc232552925" </w:instrText>
          </w:r>
          <w:r>
            <w:fldChar w:fldCharType="separate"/>
          </w:r>
          <w:r>
            <w:rPr>
              <w:rStyle w:val="23"/>
              <w:rFonts w:ascii="Times New Roman" w:hAnsi="Times New Roman" w:cs="Times New Roman"/>
            </w:rPr>
            <w:t xml:space="preserve">2.1 </w:t>
          </w:r>
          <w:r>
            <w:rPr>
              <w:rFonts w:ascii="Times New Roman" w:hAnsi="Times New Roman" w:cs="Times New Roman" w:eastAsiaTheme="minorEastAsia"/>
              <w:lang w:val="en-US"/>
            </w:rPr>
            <w:tab/>
          </w:r>
          <w:r>
            <w:rPr>
              <w:rStyle w:val="23"/>
              <w:rFonts w:ascii="Times New Roman" w:hAnsi="Times New Roman" w:cs="Times New Roman"/>
            </w:rPr>
            <w:t>Conceptual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_Toc232552925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2D2B0423">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"_Toc232552926" </w:instrText>
          </w:r>
          <w:r>
            <w:fldChar w:fldCharType="separate"/>
          </w:r>
          <w:r>
            <w:rPr>
              <w:rStyle w:val="23"/>
              <w:rFonts w:ascii="Times New Roman" w:hAnsi="Times New Roman" w:cs="Times New Roman"/>
            </w:rPr>
            <w:t xml:space="preserve">2.1.1 </w:t>
          </w:r>
          <w:r>
            <w:rPr>
              <w:rFonts w:ascii="Times New Roman" w:hAnsi="Times New Roman" w:cs="Times New Roman" w:eastAsiaTheme="minorEastAsia"/>
              <w:lang w:val="en-US"/>
            </w:rPr>
            <w:tab/>
          </w:r>
          <w:r>
            <w:rPr>
              <w:rStyle w:val="23"/>
              <w:rFonts w:ascii="Times New Roman" w:hAnsi="Times New Roman" w:cs="Times New Roman"/>
            </w:rPr>
            <w:t>Meaning of Land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_Toc232552926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664A7014">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"_Toc232552927" </w:instrText>
          </w:r>
          <w:r>
            <w:fldChar w:fldCharType="separate"/>
          </w:r>
          <w:r>
            <w:rPr>
              <w:rStyle w:val="23"/>
              <w:rFonts w:ascii="Times New Roman" w:hAnsi="Times New Roman" w:cs="Times New Roman"/>
            </w:rPr>
            <w:t xml:space="preserve">2.1.2 </w:t>
          </w:r>
          <w:r>
            <w:rPr>
              <w:rFonts w:ascii="Times New Roman" w:hAnsi="Times New Roman" w:cs="Times New Roman" w:eastAsiaTheme="minorEastAsia"/>
              <w:lang w:val="en-US"/>
            </w:rPr>
            <w:tab/>
          </w:r>
          <w:r>
            <w:rPr>
              <w:rStyle w:val="23"/>
              <w:rFonts w:ascii="Times New Roman" w:hAnsi="Times New Roman" w:cs="Times New Roman"/>
            </w:rPr>
            <w:t>Meaning of Land Tenure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_Toc232552927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50BAA667">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"_Toc232552928" </w:instrText>
          </w:r>
          <w:r>
            <w:fldChar w:fldCharType="separate"/>
          </w:r>
          <w:r>
            <w:rPr>
              <w:rStyle w:val="23"/>
              <w:rFonts w:ascii="Times New Roman" w:hAnsi="Times New Roman" w:cs="Times New Roman"/>
            </w:rPr>
            <w:t xml:space="preserve">2.1.3 </w:t>
          </w:r>
          <w:r>
            <w:rPr>
              <w:rFonts w:ascii="Times New Roman" w:hAnsi="Times New Roman" w:cs="Times New Roman" w:eastAsiaTheme="minorEastAsia"/>
              <w:lang w:val="en-US"/>
            </w:rPr>
            <w:tab/>
          </w:r>
          <w:r>
            <w:rPr>
              <w:rStyle w:val="23"/>
              <w:rFonts w:ascii="Times New Roman" w:hAnsi="Times New Roman" w:cs="Times New Roman"/>
            </w:rPr>
            <w:t>Right of Occupancy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_Toc232552928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14:paraId="238E8FEB">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"_Toc232552929" </w:instrText>
          </w:r>
          <w:r>
            <w:fldChar w:fldCharType="separate"/>
          </w:r>
          <w:r>
            <w:rPr>
              <w:rStyle w:val="23"/>
              <w:rFonts w:ascii="Times New Roman" w:hAnsi="Times New Roman" w:cs="Times New Roman"/>
            </w:rPr>
            <w:t xml:space="preserve">2.1.4 </w:t>
          </w:r>
          <w:r>
            <w:rPr>
              <w:rFonts w:ascii="Times New Roman" w:hAnsi="Times New Roman" w:cs="Times New Roman" w:eastAsiaTheme="minorEastAsia"/>
              <w:lang w:val="en-US"/>
            </w:rPr>
            <w:tab/>
          </w:r>
          <w:r>
            <w:rPr>
              <w:rStyle w:val="23"/>
              <w:rFonts w:ascii="Times New Roman" w:hAnsi="Times New Roman" w:cs="Times New Roman"/>
            </w:rPr>
            <w:t>Certificate of Occupancy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_Toc232552929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2F33DD53">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"_Toc232552930" </w:instrText>
          </w:r>
          <w:r>
            <w:fldChar w:fldCharType="separate"/>
          </w:r>
          <w:r>
            <w:rPr>
              <w:rStyle w:val="23"/>
              <w:rFonts w:ascii="Times New Roman" w:hAnsi="Times New Roman" w:cs="Times New Roman"/>
            </w:rPr>
            <w:t xml:space="preserve">2.1.5 </w:t>
          </w:r>
          <w:r>
            <w:rPr>
              <w:rFonts w:ascii="Times New Roman" w:hAnsi="Times New Roman" w:cs="Times New Roman" w:eastAsiaTheme="minorEastAsia"/>
              <w:lang w:val="en-US"/>
            </w:rPr>
            <w:tab/>
          </w:r>
          <w:r>
            <w:rPr>
              <w:rStyle w:val="23"/>
              <w:rFonts w:ascii="Times New Roman" w:hAnsi="Times New Roman" w:cs="Times New Roman"/>
            </w:rPr>
            <w:t>Alienation of Land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_Toc232552930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14:paraId="73BE8068">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"_Toc232552931" </w:instrText>
          </w:r>
          <w:r>
            <w:fldChar w:fldCharType="separate"/>
          </w:r>
          <w:r>
            <w:rPr>
              <w:rStyle w:val="23"/>
              <w:rFonts w:ascii="Times New Roman" w:hAnsi="Times New Roman" w:cs="Times New Roman"/>
            </w:rPr>
            <w:t xml:space="preserve">2.1.6 </w:t>
          </w:r>
          <w:r>
            <w:rPr>
              <w:rFonts w:ascii="Times New Roman" w:hAnsi="Times New Roman" w:cs="Times New Roman" w:eastAsiaTheme="minorEastAsia"/>
              <w:lang w:val="en-US"/>
            </w:rPr>
            <w:tab/>
          </w:r>
          <w:r>
            <w:rPr>
              <w:rStyle w:val="23"/>
              <w:rFonts w:ascii="Times New Roman" w:hAnsi="Times New Roman" w:cs="Times New Roman"/>
            </w:rPr>
            <w:t>Compulsory Acquisition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_Toc232552931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14:paraId="6E510C04">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"_Toc232552932" </w:instrText>
          </w:r>
          <w:r>
            <w:fldChar w:fldCharType="separate"/>
          </w:r>
          <w:r>
            <w:rPr>
              <w:rStyle w:val="23"/>
              <w:rFonts w:ascii="Times New Roman" w:hAnsi="Times New Roman" w:cs="Times New Roman"/>
            </w:rPr>
            <w:t xml:space="preserve">2.1.7 </w:t>
          </w:r>
          <w:r>
            <w:rPr>
              <w:rFonts w:ascii="Times New Roman" w:hAnsi="Times New Roman" w:cs="Times New Roman" w:eastAsiaTheme="minorEastAsia"/>
              <w:lang w:val="en-US"/>
            </w:rPr>
            <w:tab/>
          </w:r>
          <w:r>
            <w:rPr>
              <w:rStyle w:val="23"/>
              <w:rFonts w:ascii="Times New Roman" w:hAnsi="Times New Roman" w:cs="Times New Roman"/>
            </w:rPr>
            <w:t>Revocation of Right of Occupancy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_Toc232552932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14:paraId="3646E792">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"_Toc232552933" </w:instrText>
          </w:r>
          <w:r>
            <w:fldChar w:fldCharType="separate"/>
          </w:r>
          <w:r>
            <w:rPr>
              <w:rStyle w:val="23"/>
              <w:rFonts w:ascii="Times New Roman" w:hAnsi="Times New Roman" w:cs="Times New Roman"/>
            </w:rPr>
            <w:t xml:space="preserve">2.1.8 </w:t>
          </w:r>
          <w:r>
            <w:rPr>
              <w:rFonts w:ascii="Times New Roman" w:hAnsi="Times New Roman" w:cs="Times New Roman" w:eastAsiaTheme="minorEastAsia"/>
              <w:lang w:val="en-US"/>
            </w:rPr>
            <w:tab/>
          </w:r>
          <w:r>
            <w:rPr>
              <w:rStyle w:val="23"/>
              <w:rFonts w:ascii="Times New Roman" w:hAnsi="Times New Roman" w:cs="Times New Roman"/>
            </w:rPr>
            <w:t>Compensation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_Toc232552933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592E9817">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"_Toc232552934" </w:instrText>
          </w:r>
          <w:r>
            <w:fldChar w:fldCharType="separate"/>
          </w:r>
          <w:r>
            <w:rPr>
              <w:rStyle w:val="23"/>
              <w:rFonts w:ascii="Times New Roman" w:hAnsi="Times New Roman" w:cs="Times New Roman"/>
            </w:rPr>
            <w:t xml:space="preserve">2.2 </w:t>
          </w:r>
          <w:r>
            <w:rPr>
              <w:rFonts w:ascii="Times New Roman" w:hAnsi="Times New Roman" w:cs="Times New Roman" w:eastAsiaTheme="minorEastAsia"/>
              <w:lang w:val="en-US"/>
            </w:rPr>
            <w:tab/>
          </w:r>
          <w:r>
            <w:rPr>
              <w:rStyle w:val="23"/>
              <w:rFonts w:ascii="Times New Roman" w:hAnsi="Times New Roman" w:cs="Times New Roman"/>
            </w:rPr>
            <w:t>Theoretical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_Toc232552934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6B8D9234">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"_Toc232552935" </w:instrText>
          </w:r>
          <w:r>
            <w:fldChar w:fldCharType="separate"/>
          </w:r>
          <w:r>
            <w:rPr>
              <w:rStyle w:val="23"/>
              <w:rFonts w:ascii="Times New Roman" w:hAnsi="Times New Roman" w:cs="Times New Roman"/>
            </w:rPr>
            <w:t xml:space="preserve">2.2.1 </w:t>
          </w:r>
          <w:r>
            <w:rPr>
              <w:rFonts w:ascii="Times New Roman" w:hAnsi="Times New Roman" w:cs="Times New Roman" w:eastAsiaTheme="minorEastAsia"/>
              <w:lang w:val="en-US"/>
            </w:rPr>
            <w:tab/>
          </w:r>
          <w:r>
            <w:rPr>
              <w:rStyle w:val="23"/>
              <w:rFonts w:ascii="Times New Roman" w:hAnsi="Times New Roman" w:cs="Times New Roman"/>
            </w:rPr>
            <w:t>Sociological Jurisprudence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_Toc232552935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312ECBA7">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"_Toc232552936" </w:instrText>
          </w:r>
          <w:r>
            <w:fldChar w:fldCharType="separate"/>
          </w:r>
          <w:r>
            <w:rPr>
              <w:rStyle w:val="23"/>
              <w:rFonts w:ascii="Times New Roman" w:hAnsi="Times New Roman" w:cs="Times New Roman"/>
            </w:rPr>
            <w:t xml:space="preserve">2.2.2 </w:t>
          </w:r>
          <w:r>
            <w:rPr>
              <w:rFonts w:ascii="Times New Roman" w:hAnsi="Times New Roman" w:cs="Times New Roman" w:eastAsiaTheme="minorEastAsia"/>
              <w:lang w:val="en-US"/>
            </w:rPr>
            <w:tab/>
          </w:r>
          <w:r>
            <w:rPr>
              <w:rStyle w:val="23"/>
              <w:rFonts w:ascii="Times New Roman" w:hAnsi="Times New Roman" w:cs="Times New Roman"/>
            </w:rPr>
            <w:t>Legal Positivism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_Toc232552936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14:paraId="6B479BC2">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"_Toc232552937" </w:instrText>
          </w:r>
          <w:r>
            <w:fldChar w:fldCharType="separate"/>
          </w:r>
          <w:r>
            <w:rPr>
              <w:rStyle w:val="23"/>
              <w:rFonts w:ascii="Times New Roman" w:hAnsi="Times New Roman" w:cs="Times New Roman"/>
            </w:rPr>
            <w:t xml:space="preserve">2.2.3 </w:t>
          </w:r>
          <w:r>
            <w:rPr>
              <w:rFonts w:ascii="Times New Roman" w:hAnsi="Times New Roman" w:cs="Times New Roman" w:eastAsiaTheme="minorEastAsia"/>
              <w:lang w:val="en-US"/>
            </w:rPr>
            <w:tab/>
          </w:r>
          <w:r>
            <w:rPr>
              <w:rStyle w:val="23"/>
              <w:rFonts w:ascii="Times New Roman" w:hAnsi="Times New Roman" w:cs="Times New Roman"/>
            </w:rPr>
            <w:t>Natural Law Theory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_Toc232552937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14:paraId="352F565E">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"_Toc232552938" </w:instrText>
          </w:r>
          <w:r>
            <w:fldChar w:fldCharType="separate"/>
          </w:r>
          <w:r>
            <w:rPr>
              <w:rStyle w:val="23"/>
              <w:rFonts w:ascii="Times New Roman" w:hAnsi="Times New Roman" w:cs="Times New Roman"/>
            </w:rPr>
            <w:t xml:space="preserve">2.2.4 </w:t>
          </w:r>
          <w:r>
            <w:rPr>
              <w:rFonts w:ascii="Times New Roman" w:hAnsi="Times New Roman" w:cs="Times New Roman" w:eastAsiaTheme="minorEastAsia"/>
              <w:lang w:val="en-US"/>
            </w:rPr>
            <w:tab/>
          </w:r>
          <w:r>
            <w:rPr>
              <w:rStyle w:val="23"/>
              <w:rFonts w:ascii="Times New Roman" w:hAnsi="Times New Roman" w:cs="Times New Roman"/>
            </w:rPr>
            <w:t>Legal Realism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_Toc232552938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14:paraId="74111568">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"_Toc232552939" </w:instrText>
          </w:r>
          <w:r>
            <w:fldChar w:fldCharType="separate"/>
          </w:r>
          <w:r>
            <w:rPr>
              <w:rStyle w:val="23"/>
              <w:rFonts w:ascii="Times New Roman" w:hAnsi="Times New Roman" w:cs="Times New Roman"/>
            </w:rPr>
            <w:t>CHAPTER THREE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_Toc232552939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4E6F3F00">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"_Toc232552940" </w:instrText>
          </w:r>
          <w:r>
            <w:fldChar w:fldCharType="separate"/>
          </w:r>
          <w:r>
            <w:rPr>
              <w:rStyle w:val="23"/>
              <w:rFonts w:ascii="Times New Roman" w:hAnsi="Times New Roman" w:cs="Times New Roman"/>
            </w:rPr>
            <w:t>LEGISLATIVE AND INSTITUTIONAL FRAMEWORK FOR LAND ADMINISTRATION UNDER THE LUA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_Toc232552940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1CD0C588">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"_Toc232552941" </w:instrText>
          </w:r>
          <w:r>
            <w:fldChar w:fldCharType="separate"/>
          </w:r>
          <w:r>
            <w:rPr>
              <w:rStyle w:val="23"/>
              <w:rFonts w:ascii="Times New Roman" w:hAnsi="Times New Roman" w:cs="Times New Roman"/>
            </w:rPr>
            <w:t xml:space="preserve">3.1 </w:t>
          </w:r>
          <w:r>
            <w:rPr>
              <w:rFonts w:ascii="Times New Roman" w:hAnsi="Times New Roman" w:cs="Times New Roman" w:eastAsiaTheme="minorEastAsia"/>
              <w:lang w:val="en-US"/>
            </w:rPr>
            <w:tab/>
          </w:r>
          <w:r>
            <w:rPr>
              <w:rStyle w:val="23"/>
              <w:rFonts w:ascii="Times New Roman" w:hAnsi="Times New Roman" w:cs="Times New Roman"/>
            </w:rPr>
            <w:t>Legislative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_Toc232552941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1036C6C7">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"_Toc232552942" </w:instrText>
          </w:r>
          <w:r>
            <w:fldChar w:fldCharType="separate"/>
          </w:r>
          <w:r>
            <w:rPr>
              <w:rStyle w:val="23"/>
              <w:rFonts w:ascii="Times New Roman" w:hAnsi="Times New Roman" w:cs="Times New Roman"/>
            </w:rPr>
            <w:t xml:space="preserve">3.1.1 </w:t>
          </w:r>
          <w:r>
            <w:rPr>
              <w:rFonts w:ascii="Times New Roman" w:hAnsi="Times New Roman" w:cs="Times New Roman" w:eastAsiaTheme="minorEastAsia"/>
              <w:lang w:val="en-US"/>
            </w:rPr>
            <w:tab/>
          </w:r>
          <w:r>
            <w:rPr>
              <w:rStyle w:val="23"/>
              <w:rFonts w:ascii="Times New Roman" w:hAnsi="Times New Roman" w:cs="Times New Roman"/>
            </w:rPr>
            <w:t>Constitution of the Federal Republic of Nigeria (CFRN) 1999</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_Toc232552942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20748800">
          <w:pPr>
            <w:pStyle w:val="13"/>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"_Toc232552943" </w:instrText>
          </w:r>
          <w:r>
            <w:fldChar w:fldCharType="separate"/>
          </w:r>
          <w:r>
            <w:rPr>
              <w:rStyle w:val="23"/>
              <w:rFonts w:ascii="Times New Roman" w:hAnsi="Times New Roman" w:cs="Times New Roman"/>
            </w:rPr>
            <w:t>ii.</w:t>
          </w:r>
          <w:r>
            <w:rPr>
              <w:rFonts w:ascii="Times New Roman" w:hAnsi="Times New Roman" w:cs="Times New Roman" w:eastAsiaTheme="minorEastAsia"/>
              <w:lang w:val="en-US"/>
            </w:rPr>
            <w:tab/>
          </w:r>
          <w:r>
            <w:rPr>
              <w:rStyle w:val="23"/>
              <w:rFonts w:ascii="Times New Roman" w:hAnsi="Times New Roman" w:cs="Times New Roman"/>
            </w:rPr>
            <w:t>Right to acquire and own immovable property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_Toc232552943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14:paraId="31923B52">
          <w:pPr>
            <w:pStyle w:val="13"/>
            <w:tabs>
              <w:tab w:val="left" w:pos="1100"/>
              <w:tab w:val="right" w:leader="dot" w:pos="9017"/>
            </w:tabs>
            <w:rPr>
              <w:rFonts w:ascii="Times New Roman" w:hAnsi="Times New Roman" w:cs="Times New Roman" w:eastAsiaTheme="minorEastAsia"/>
              <w:lang w:val="en-US"/>
            </w:rPr>
          </w:pPr>
          <w:r>
            <w:fldChar w:fldCharType="begin"/>
          </w:r>
          <w:r>
            <w:instrText xml:space="preserve"> HYPERLINK \l "_Toc232552944" </w:instrText>
          </w:r>
          <w:r>
            <w:fldChar w:fldCharType="separate"/>
          </w:r>
          <w:r>
            <w:rPr>
              <w:rStyle w:val="23"/>
              <w:rFonts w:ascii="Times New Roman" w:hAnsi="Times New Roman" w:cs="Times New Roman"/>
            </w:rPr>
            <w:t xml:space="preserve">ii.  </w:t>
          </w:r>
          <w:r>
            <w:rPr>
              <w:rFonts w:ascii="Times New Roman" w:hAnsi="Times New Roman" w:cs="Times New Roman" w:eastAsiaTheme="minorEastAsia"/>
              <w:lang w:val="en-US"/>
            </w:rPr>
            <w:tab/>
          </w:r>
          <w:r>
            <w:rPr>
              <w:rStyle w:val="23"/>
              <w:rFonts w:ascii="Times New Roman" w:hAnsi="Times New Roman" w:cs="Times New Roman"/>
            </w:rPr>
            <w:t>Protects against compulsory acquisition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_Toc232552944 \h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14:paraId="51FA9207">
          <w:pPr>
            <w:pStyle w:val="13"/>
            <w:tabs>
              <w:tab w:val="left" w:pos="1100"/>
              <w:tab w:val="right" w:leader="dot" w:pos="9017"/>
            </w:tabs>
            <w:rPr>
              <w:rFonts w:ascii="Times New Roman" w:hAnsi="Times New Roman" w:cs="Times New Roman" w:eastAsiaTheme="minorEastAsia"/>
              <w:lang w:val="en-US"/>
            </w:rPr>
          </w:pPr>
          <w:r>
            <w:fldChar w:fldCharType="begin"/>
          </w:r>
          <w:r>
            <w:instrText xml:space="preserve"> HYPERLINK \l "_Toc232552945" </w:instrText>
          </w:r>
          <w:r>
            <w:fldChar w:fldCharType="separate"/>
          </w:r>
          <w:r>
            <w:rPr>
              <w:rStyle w:val="23"/>
              <w:rFonts w:ascii="Times New Roman" w:hAnsi="Times New Roman" w:cs="Times New Roman"/>
            </w:rPr>
            <w:t xml:space="preserve">iii. </w:t>
          </w:r>
          <w:r>
            <w:rPr>
              <w:rFonts w:ascii="Times New Roman" w:hAnsi="Times New Roman" w:cs="Times New Roman" w:eastAsiaTheme="minorEastAsia"/>
              <w:lang w:val="en-US"/>
            </w:rPr>
            <w:tab/>
          </w:r>
          <w:r>
            <w:rPr>
              <w:rStyle w:val="23"/>
              <w:rFonts w:ascii="Times New Roman" w:hAnsi="Times New Roman" w:cs="Times New Roman"/>
            </w:rPr>
            <w:t>Constitutional status of the LUA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_Toc232552945 \h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14:paraId="14C0FD33">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"_Toc232552946" </w:instrText>
          </w:r>
          <w:r>
            <w:fldChar w:fldCharType="separate"/>
          </w:r>
          <w:r>
            <w:rPr>
              <w:rStyle w:val="23"/>
              <w:rFonts w:ascii="Times New Roman" w:hAnsi="Times New Roman" w:cs="Times New Roman"/>
            </w:rPr>
            <w:t xml:space="preserve">3.1.2 </w:t>
          </w:r>
          <w:r>
            <w:rPr>
              <w:rFonts w:ascii="Times New Roman" w:hAnsi="Times New Roman" w:cs="Times New Roman" w:eastAsiaTheme="minorEastAsia"/>
              <w:lang w:val="en-US"/>
            </w:rPr>
            <w:tab/>
          </w:r>
          <w:r>
            <w:rPr>
              <w:rStyle w:val="23"/>
              <w:rFonts w:ascii="Times New Roman" w:hAnsi="Times New Roman" w:cs="Times New Roman"/>
            </w:rPr>
            <w:t>Land Use Act, Cap L5, Laws of the Federation of Nigeria 2004</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_Toc232552946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4ABE3B29">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"_Toc232552947" </w:instrText>
          </w:r>
          <w:r>
            <w:fldChar w:fldCharType="separate"/>
          </w:r>
          <w:r>
            <w:rPr>
              <w:rStyle w:val="23"/>
              <w:rFonts w:ascii="Times New Roman" w:hAnsi="Times New Roman" w:cs="Times New Roman"/>
            </w:rPr>
            <w:t xml:space="preserve">3.2 </w:t>
          </w:r>
          <w:r>
            <w:rPr>
              <w:rFonts w:ascii="Times New Roman" w:hAnsi="Times New Roman" w:cs="Times New Roman" w:eastAsiaTheme="minorEastAsia"/>
              <w:lang w:val="en-US"/>
            </w:rPr>
            <w:tab/>
          </w:r>
          <w:r>
            <w:rPr>
              <w:rStyle w:val="23"/>
              <w:rFonts w:ascii="Times New Roman" w:hAnsi="Times New Roman" w:cs="Times New Roman"/>
            </w:rPr>
            <w:t>Other Relevant Legislation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_Toc232552947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14:paraId="7EF05F1E">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"_Toc232552948" </w:instrText>
          </w:r>
          <w:r>
            <w:fldChar w:fldCharType="separate"/>
          </w:r>
          <w:r>
            <w:rPr>
              <w:rStyle w:val="23"/>
              <w:rFonts w:ascii="Times New Roman" w:hAnsi="Times New Roman" w:cs="Times New Roman"/>
            </w:rPr>
            <w:t xml:space="preserve">3.2.1 </w:t>
          </w:r>
          <w:r>
            <w:rPr>
              <w:rFonts w:ascii="Times New Roman" w:hAnsi="Times New Roman" w:cs="Times New Roman" w:eastAsiaTheme="minorEastAsia"/>
              <w:lang w:val="en-US"/>
            </w:rPr>
            <w:tab/>
          </w:r>
          <w:r>
            <w:rPr>
              <w:rStyle w:val="23"/>
              <w:rFonts w:ascii="Times New Roman" w:hAnsi="Times New Roman" w:cs="Times New Roman"/>
            </w:rPr>
            <w:t>State Land-registration Laws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_Toc232552948 \h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14:paraId="667E102F">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"_Toc232552949" </w:instrText>
          </w:r>
          <w:r>
            <w:fldChar w:fldCharType="separate"/>
          </w:r>
          <w:r>
            <w:rPr>
              <w:rStyle w:val="23"/>
              <w:rFonts w:ascii="Times New Roman" w:hAnsi="Times New Roman" w:cs="Times New Roman"/>
            </w:rPr>
            <w:t xml:space="preserve">3.2.2 </w:t>
          </w:r>
          <w:r>
            <w:rPr>
              <w:rFonts w:ascii="Times New Roman" w:hAnsi="Times New Roman" w:cs="Times New Roman" w:eastAsiaTheme="minorEastAsia"/>
              <w:lang w:val="en-US"/>
            </w:rPr>
            <w:tab/>
          </w:r>
          <w:r>
            <w:rPr>
              <w:rStyle w:val="23"/>
              <w:rFonts w:ascii="Times New Roman" w:hAnsi="Times New Roman" w:cs="Times New Roman"/>
            </w:rPr>
            <w:t>Laws for Registration of Titles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_Toc232552949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14:paraId="0D3FD8E2">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"_Toc232552950" </w:instrText>
          </w:r>
          <w:r>
            <w:fldChar w:fldCharType="separate"/>
          </w:r>
          <w:r>
            <w:rPr>
              <w:rStyle w:val="23"/>
              <w:rFonts w:ascii="Times New Roman" w:hAnsi="Times New Roman" w:cs="Times New Roman"/>
            </w:rPr>
            <w:t xml:space="preserve">3.2.3 </w:t>
          </w:r>
          <w:r>
            <w:rPr>
              <w:rFonts w:ascii="Times New Roman" w:hAnsi="Times New Roman" w:cs="Times New Roman" w:eastAsiaTheme="minorEastAsia"/>
              <w:lang w:val="en-US"/>
            </w:rPr>
            <w:tab/>
          </w:r>
          <w:r>
            <w:rPr>
              <w:rStyle w:val="23"/>
              <w:rFonts w:ascii="Times New Roman" w:hAnsi="Times New Roman" w:cs="Times New Roman"/>
            </w:rPr>
            <w:t>Laws for Land Instruments Registration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_Toc232552950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14:paraId="6570089A">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"_Toc232552951" </w:instrText>
          </w:r>
          <w:r>
            <w:fldChar w:fldCharType="separate"/>
          </w:r>
          <w:r>
            <w:rPr>
              <w:rStyle w:val="23"/>
              <w:rFonts w:ascii="Times New Roman" w:hAnsi="Times New Roman" w:cs="Times New Roman"/>
            </w:rPr>
            <w:t xml:space="preserve">3.2.4 </w:t>
          </w:r>
          <w:r>
            <w:rPr>
              <w:rFonts w:ascii="Times New Roman" w:hAnsi="Times New Roman" w:cs="Times New Roman" w:eastAsiaTheme="minorEastAsia"/>
              <w:lang w:val="en-US"/>
            </w:rPr>
            <w:tab/>
          </w:r>
          <w:r>
            <w:rPr>
              <w:rStyle w:val="23"/>
              <w:rFonts w:ascii="Times New Roman" w:hAnsi="Times New Roman" w:cs="Times New Roman"/>
            </w:rPr>
            <w:t>Laws for Urban and Regional Planning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_Toc232552951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1606E61F">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"_Toc232552952" </w:instrText>
          </w:r>
          <w:r>
            <w:fldChar w:fldCharType="separate"/>
          </w:r>
          <w:r>
            <w:rPr>
              <w:rStyle w:val="23"/>
              <w:rFonts w:ascii="Times New Roman" w:hAnsi="Times New Roman" w:cs="Times New Roman"/>
            </w:rPr>
            <w:t xml:space="preserve">3.3 </w:t>
          </w:r>
          <w:r>
            <w:rPr>
              <w:rFonts w:ascii="Times New Roman" w:hAnsi="Times New Roman" w:cs="Times New Roman" w:eastAsiaTheme="minorEastAsia"/>
              <w:lang w:val="en-US"/>
            </w:rPr>
            <w:tab/>
          </w:r>
          <w:r>
            <w:rPr>
              <w:rStyle w:val="23"/>
              <w:rFonts w:ascii="Times New Roman" w:hAnsi="Times New Roman" w:cs="Times New Roman"/>
            </w:rPr>
            <w:t>Institutional Framework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_Toc232552952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21B6F580">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"_Toc232552953" </w:instrText>
          </w:r>
          <w:r>
            <w:fldChar w:fldCharType="separate"/>
          </w:r>
          <w:r>
            <w:rPr>
              <w:rStyle w:val="23"/>
              <w:rFonts w:ascii="Times New Roman" w:hAnsi="Times New Roman" w:cs="Times New Roman"/>
            </w:rPr>
            <w:t xml:space="preserve">3.3.1 </w:t>
          </w:r>
          <w:r>
            <w:rPr>
              <w:rFonts w:ascii="Times New Roman" w:hAnsi="Times New Roman" w:cs="Times New Roman" w:eastAsiaTheme="minorEastAsia"/>
              <w:lang w:val="en-US"/>
            </w:rPr>
            <w:tab/>
          </w:r>
          <w:r>
            <w:rPr>
              <w:rStyle w:val="23"/>
              <w:rFonts w:ascii="Times New Roman" w:hAnsi="Times New Roman" w:cs="Times New Roman"/>
            </w:rPr>
            <w:t>State Governors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_Toc232552953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02F4F8DC">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"_Toc232552954" </w:instrText>
          </w:r>
          <w:r>
            <w:fldChar w:fldCharType="separate"/>
          </w:r>
          <w:r>
            <w:rPr>
              <w:rStyle w:val="23"/>
              <w:rFonts w:ascii="Times New Roman" w:hAnsi="Times New Roman" w:cs="Times New Roman"/>
            </w:rPr>
            <w:t xml:space="preserve">3.3.2 </w:t>
          </w:r>
          <w:r>
            <w:rPr>
              <w:rFonts w:ascii="Times New Roman" w:hAnsi="Times New Roman" w:cs="Times New Roman" w:eastAsiaTheme="minorEastAsia"/>
              <w:lang w:val="en-US"/>
            </w:rPr>
            <w:tab/>
          </w:r>
          <w:r>
            <w:rPr>
              <w:rStyle w:val="23"/>
              <w:rFonts w:ascii="Times New Roman" w:hAnsi="Times New Roman" w:cs="Times New Roman"/>
            </w:rPr>
            <w:t>Local Governments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_Toc232552954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14:paraId="0AFBBCBC">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"_Toc232552955" </w:instrText>
          </w:r>
          <w:r>
            <w:fldChar w:fldCharType="separate"/>
          </w:r>
          <w:r>
            <w:rPr>
              <w:rStyle w:val="23"/>
              <w:rFonts w:ascii="Times New Roman" w:hAnsi="Times New Roman" w:cs="Times New Roman"/>
            </w:rPr>
            <w:t xml:space="preserve">3.3.3 </w:t>
          </w:r>
          <w:r>
            <w:rPr>
              <w:rFonts w:ascii="Times New Roman" w:hAnsi="Times New Roman" w:cs="Times New Roman" w:eastAsiaTheme="minorEastAsia"/>
              <w:lang w:val="en-US"/>
            </w:rPr>
            <w:tab/>
          </w:r>
          <w:r>
            <w:rPr>
              <w:rStyle w:val="23"/>
              <w:rFonts w:ascii="Times New Roman" w:hAnsi="Times New Roman" w:cs="Times New Roman"/>
            </w:rPr>
            <w:t>Land Use and Allocation Committees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_Toc232552955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14:paraId="76841D3C">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"_Toc232552956" </w:instrText>
          </w:r>
          <w:r>
            <w:fldChar w:fldCharType="separate"/>
          </w:r>
          <w:r>
            <w:rPr>
              <w:rStyle w:val="23"/>
              <w:rFonts w:ascii="Times New Roman" w:hAnsi="Times New Roman" w:cs="Times New Roman"/>
            </w:rPr>
            <w:t xml:space="preserve">3.3.4 </w:t>
          </w:r>
          <w:r>
            <w:rPr>
              <w:rFonts w:ascii="Times New Roman" w:hAnsi="Times New Roman" w:cs="Times New Roman" w:eastAsiaTheme="minorEastAsia"/>
              <w:lang w:val="en-US"/>
            </w:rPr>
            <w:tab/>
          </w:r>
          <w:r>
            <w:rPr>
              <w:rStyle w:val="23"/>
              <w:rFonts w:ascii="Times New Roman" w:hAnsi="Times New Roman" w:cs="Times New Roman"/>
            </w:rPr>
            <w:t>Land Allocation Advisory Committees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_Toc232552956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14:paraId="45628CAF">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"_Toc232552957" </w:instrText>
          </w:r>
          <w:r>
            <w:fldChar w:fldCharType="separate"/>
          </w:r>
          <w:r>
            <w:rPr>
              <w:rStyle w:val="23"/>
              <w:rFonts w:ascii="Times New Roman" w:hAnsi="Times New Roman" w:cs="Times New Roman"/>
            </w:rPr>
            <w:t xml:space="preserve">3.3.5 </w:t>
          </w:r>
          <w:r>
            <w:rPr>
              <w:rFonts w:ascii="Times New Roman" w:hAnsi="Times New Roman" w:cs="Times New Roman" w:eastAsiaTheme="minorEastAsia"/>
              <w:lang w:val="en-US"/>
            </w:rPr>
            <w:tab/>
          </w:r>
          <w:r>
            <w:rPr>
              <w:rStyle w:val="23"/>
              <w:rFonts w:ascii="Times New Roman" w:hAnsi="Times New Roman" w:cs="Times New Roman"/>
            </w:rPr>
            <w:t>Ministries of Lands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_Toc232552957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14:paraId="70BBF6E7">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"_Toc232552958" </w:instrText>
          </w:r>
          <w:r>
            <w:fldChar w:fldCharType="separate"/>
          </w:r>
          <w:r>
            <w:rPr>
              <w:rStyle w:val="23"/>
              <w:rFonts w:ascii="Times New Roman" w:hAnsi="Times New Roman" w:cs="Times New Roman"/>
            </w:rPr>
            <w:t xml:space="preserve">3.3.6 </w:t>
          </w:r>
          <w:r>
            <w:rPr>
              <w:rFonts w:ascii="Times New Roman" w:hAnsi="Times New Roman" w:cs="Times New Roman" w:eastAsiaTheme="minorEastAsia"/>
              <w:lang w:val="en-US"/>
            </w:rPr>
            <w:tab/>
          </w:r>
          <w:r>
            <w:rPr>
              <w:rStyle w:val="23"/>
              <w:rFonts w:ascii="Times New Roman" w:hAnsi="Times New Roman" w:cs="Times New Roman"/>
            </w:rPr>
            <w:t>Land Registries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_Toc232552958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14:paraId="75FBFA3E">
          <w:pPr>
            <w:pStyle w:val="13"/>
            <w:tabs>
              <w:tab w:val="left" w:pos="1320"/>
              <w:tab w:val="right" w:leader="dot" w:pos="9017"/>
            </w:tabs>
            <w:rPr>
              <w:rFonts w:ascii="Times New Roman" w:hAnsi="Times New Roman" w:cs="Times New Roman" w:eastAsiaTheme="minorEastAsia"/>
              <w:lang w:val="en-US"/>
            </w:rPr>
          </w:pPr>
          <w:r>
            <w:fldChar w:fldCharType="begin"/>
          </w:r>
          <w:r>
            <w:instrText xml:space="preserve"> HYPERLINK \l "_Toc232552959" </w:instrText>
          </w:r>
          <w:r>
            <w:fldChar w:fldCharType="separate"/>
          </w:r>
          <w:r>
            <w:rPr>
              <w:rStyle w:val="23"/>
              <w:rFonts w:ascii="Times New Roman" w:hAnsi="Times New Roman" w:cs="Times New Roman"/>
            </w:rPr>
            <w:t>3.3.7</w:t>
          </w:r>
          <w:r>
            <w:rPr>
              <w:rFonts w:ascii="Times New Roman" w:hAnsi="Times New Roman" w:cs="Times New Roman" w:eastAsiaTheme="minorEastAsia"/>
              <w:lang w:val="en-US"/>
            </w:rPr>
            <w:tab/>
          </w:r>
          <w:r>
            <w:rPr>
              <w:rStyle w:val="23"/>
              <w:rFonts w:ascii="Times New Roman" w:hAnsi="Times New Roman" w:cs="Times New Roman"/>
            </w:rPr>
            <w:t xml:space="preserve"> The Courts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_Toc232552959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14:paraId="5EBC2651">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"_Toc232552960" </w:instrText>
          </w:r>
          <w:r>
            <w:fldChar w:fldCharType="separate"/>
          </w:r>
          <w:r>
            <w:rPr>
              <w:rStyle w:val="23"/>
              <w:rFonts w:ascii="Times New Roman" w:hAnsi="Times New Roman" w:cs="Times New Roman"/>
            </w:rPr>
            <w:t>CHAPTER FOUR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_Toc232552960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7316CCC3">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"_Toc232552961" </w:instrText>
          </w:r>
          <w:r>
            <w:fldChar w:fldCharType="separate"/>
          </w:r>
          <w:r>
            <w:rPr>
              <w:rStyle w:val="23"/>
              <w:rFonts w:ascii="Times New Roman" w:hAnsi="Times New Roman" w:cs="Times New Roman"/>
            </w:rPr>
            <w:t>DEFECTS IN THE OPERATION OF THE LAND USE ACT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_Toc232552961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4CBA3ECA">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"_Toc232552962" </w:instrText>
          </w:r>
          <w:r>
            <w:fldChar w:fldCharType="separate"/>
          </w:r>
          <w:r>
            <w:rPr>
              <w:rStyle w:val="23"/>
              <w:rFonts w:ascii="Times New Roman" w:hAnsi="Times New Roman" w:cs="Times New Roman"/>
            </w:rPr>
            <w:t xml:space="preserve">4.1 </w:t>
          </w:r>
          <w:r>
            <w:rPr>
              <w:rFonts w:ascii="Times New Roman" w:hAnsi="Times New Roman" w:cs="Times New Roman" w:eastAsiaTheme="minorEastAsia"/>
              <w:lang w:val="en-US"/>
            </w:rPr>
            <w:tab/>
          </w:r>
          <w:r>
            <w:rPr>
              <w:rStyle w:val="23"/>
              <w:rFonts w:ascii="Times New Roman" w:hAnsi="Times New Roman" w:cs="Times New Roman"/>
            </w:rPr>
            <w:t>Excessive Concentration of Powers in State Governors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_Toc232552962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20079F3B">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"_Toc232552963" </w:instrText>
          </w:r>
          <w:r>
            <w:fldChar w:fldCharType="separate"/>
          </w:r>
          <w:r>
            <w:rPr>
              <w:rStyle w:val="23"/>
              <w:rFonts w:ascii="Times New Roman" w:hAnsi="Times New Roman" w:cs="Times New Roman"/>
            </w:rPr>
            <w:t xml:space="preserve">4.2 </w:t>
          </w:r>
          <w:r>
            <w:rPr>
              <w:rFonts w:ascii="Times New Roman" w:hAnsi="Times New Roman" w:cs="Times New Roman" w:eastAsiaTheme="minorEastAsia"/>
              <w:lang w:val="en-US"/>
            </w:rPr>
            <w:tab/>
          </w:r>
          <w:r>
            <w:rPr>
              <w:rStyle w:val="23"/>
              <w:rFonts w:ascii="Times New Roman" w:hAnsi="Times New Roman" w:cs="Times New Roman"/>
            </w:rPr>
            <w:t>Uncertainty over the Meaning and Effect of Vesting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_Toc232552963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14:paraId="5F7457B9">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"_Toc232552964" </w:instrText>
          </w:r>
          <w:r>
            <w:fldChar w:fldCharType="separate"/>
          </w:r>
          <w:r>
            <w:rPr>
              <w:rStyle w:val="23"/>
              <w:rFonts w:ascii="Times New Roman" w:hAnsi="Times New Roman" w:cs="Times New Roman"/>
            </w:rPr>
            <w:t xml:space="preserve">4.3 </w:t>
          </w:r>
          <w:r>
            <w:rPr>
              <w:rFonts w:ascii="Times New Roman" w:hAnsi="Times New Roman" w:cs="Times New Roman" w:eastAsiaTheme="minorEastAsia"/>
              <w:lang w:val="en-US"/>
            </w:rPr>
            <w:tab/>
          </w:r>
          <w:r>
            <w:rPr>
              <w:rStyle w:val="23"/>
              <w:rFonts w:ascii="Times New Roman" w:hAnsi="Times New Roman" w:cs="Times New Roman"/>
            </w:rPr>
            <w:t>Uncertainty in the Right of Occupancy and Certificate of Occupancy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_Toc232552964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0D564461">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"_Toc232552965" </w:instrText>
          </w:r>
          <w:r>
            <w:fldChar w:fldCharType="separate"/>
          </w:r>
          <w:r>
            <w:rPr>
              <w:rStyle w:val="23"/>
              <w:rFonts w:ascii="Times New Roman" w:hAnsi="Times New Roman" w:cs="Times New Roman"/>
            </w:rPr>
            <w:t xml:space="preserve">4.4 </w:t>
          </w:r>
          <w:r>
            <w:rPr>
              <w:rFonts w:ascii="Times New Roman" w:hAnsi="Times New Roman" w:cs="Times New Roman" w:eastAsiaTheme="minorEastAsia"/>
              <w:lang w:val="en-US"/>
            </w:rPr>
            <w:tab/>
          </w:r>
          <w:r>
            <w:rPr>
              <w:rStyle w:val="23"/>
              <w:rFonts w:ascii="Times New Roman" w:hAnsi="Times New Roman" w:cs="Times New Roman"/>
            </w:rPr>
            <w:t>Defects in the Requirement for Governor’s Consent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_Toc232552965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14:paraId="4189ED7E">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"_Toc232552966" </w:instrText>
          </w:r>
          <w:r>
            <w:fldChar w:fldCharType="separate"/>
          </w:r>
          <w:r>
            <w:rPr>
              <w:rStyle w:val="23"/>
              <w:rFonts w:ascii="Times New Roman" w:hAnsi="Times New Roman" w:cs="Times New Roman"/>
            </w:rPr>
            <w:t xml:space="preserve">4.5 </w:t>
          </w:r>
          <w:r>
            <w:rPr>
              <w:rFonts w:ascii="Times New Roman" w:hAnsi="Times New Roman" w:cs="Times New Roman" w:eastAsiaTheme="minorEastAsia"/>
              <w:lang w:val="en-US"/>
            </w:rPr>
            <w:tab/>
          </w:r>
          <w:r>
            <w:rPr>
              <w:rStyle w:val="23"/>
              <w:rFonts w:ascii="Times New Roman" w:hAnsi="Times New Roman" w:cs="Times New Roman"/>
            </w:rPr>
            <w:t>Abuse of the Power of Revocation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_Toc232552966 \h </w:instrText>
          </w:r>
          <w:r>
            <w:rPr>
              <w:rFonts w:ascii="Times New Roman" w:hAnsi="Times New Roman" w:cs="Times New Roman"/>
            </w:rPr>
            <w:fldChar w:fldCharType="separate"/>
          </w:r>
          <w:r>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fldChar w:fldCharType="end"/>
          </w:r>
        </w:p>
        <w:p w14:paraId="6368D3B6">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"_Toc232552967" </w:instrText>
          </w:r>
          <w:r>
            <w:fldChar w:fldCharType="separate"/>
          </w:r>
          <w:r>
            <w:rPr>
              <w:rStyle w:val="23"/>
              <w:rFonts w:ascii="Times New Roman" w:hAnsi="Times New Roman" w:cs="Times New Roman"/>
            </w:rPr>
            <w:t xml:space="preserve">4.6 </w:t>
          </w:r>
          <w:r>
            <w:rPr>
              <w:rFonts w:ascii="Times New Roman" w:hAnsi="Times New Roman" w:cs="Times New Roman" w:eastAsiaTheme="minorEastAsia"/>
              <w:lang w:val="en-US"/>
            </w:rPr>
            <w:tab/>
          </w:r>
          <w:r>
            <w:rPr>
              <w:rStyle w:val="23"/>
              <w:rFonts w:ascii="Times New Roman" w:hAnsi="Times New Roman" w:cs="Times New Roman"/>
            </w:rPr>
            <w:t>Inadequacy of Compensation for Compulsory Acquisition and Resettlement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_Toc232552967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14:paraId="478EDE42">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"_Toc232552968" </w:instrText>
          </w:r>
          <w:r>
            <w:fldChar w:fldCharType="separate"/>
          </w:r>
          <w:r>
            <w:rPr>
              <w:rStyle w:val="23"/>
              <w:rFonts w:ascii="Times New Roman" w:hAnsi="Times New Roman" w:cs="Times New Roman"/>
            </w:rPr>
            <w:t xml:space="preserve">4.7 </w:t>
          </w:r>
          <w:r>
            <w:rPr>
              <w:rFonts w:ascii="Times New Roman" w:hAnsi="Times New Roman" w:cs="Times New Roman" w:eastAsiaTheme="minorEastAsia"/>
              <w:lang w:val="en-US"/>
            </w:rPr>
            <w:tab/>
          </w:r>
          <w:r>
            <w:rPr>
              <w:rStyle w:val="23"/>
              <w:rFonts w:ascii="Times New Roman" w:hAnsi="Times New Roman" w:cs="Times New Roman"/>
            </w:rPr>
            <w:t>Weak Protection of Customary, Family and Communal Land Interests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_Toc232552968 \h </w:instrText>
          </w:r>
          <w:r>
            <w:rPr>
              <w:rFonts w:ascii="Times New Roman" w:hAnsi="Times New Roman" w:cs="Times New Roman"/>
            </w:rPr>
            <w:fldChar w:fldCharType="separate"/>
          </w:r>
          <w:r>
            <w:rPr>
              <w:rFonts w:ascii="Times New Roman" w:hAnsi="Times New Roman" w:cs="Times New Roman"/>
            </w:rPr>
            <w:t>50</w:t>
          </w:r>
          <w:r>
            <w:rPr>
              <w:rFonts w:ascii="Times New Roman" w:hAnsi="Times New Roman" w:cs="Times New Roman"/>
            </w:rPr>
            <w:fldChar w:fldCharType="end"/>
          </w:r>
          <w:r>
            <w:rPr>
              <w:rFonts w:ascii="Times New Roman" w:hAnsi="Times New Roman" w:cs="Times New Roman"/>
            </w:rPr>
            <w:fldChar w:fldCharType="end"/>
          </w:r>
        </w:p>
        <w:p w14:paraId="4EF16E74">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"_Toc232552969" </w:instrText>
          </w:r>
          <w:r>
            <w:fldChar w:fldCharType="separate"/>
          </w:r>
          <w:r>
            <w:rPr>
              <w:rStyle w:val="23"/>
              <w:rFonts w:ascii="Times New Roman" w:hAnsi="Times New Roman" w:cs="Times New Roman"/>
            </w:rPr>
            <w:t xml:space="preserve">4.8 </w:t>
          </w:r>
          <w:r>
            <w:rPr>
              <w:rFonts w:ascii="Times New Roman" w:hAnsi="Times New Roman" w:cs="Times New Roman" w:eastAsiaTheme="minorEastAsia"/>
              <w:lang w:val="en-US"/>
            </w:rPr>
            <w:tab/>
          </w:r>
          <w:r>
            <w:rPr>
              <w:rStyle w:val="23"/>
              <w:rFonts w:ascii="Times New Roman" w:hAnsi="Times New Roman" w:cs="Times New Roman"/>
            </w:rPr>
            <w:t>The Ouster of Judicial Jurisdiction under Section 47</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_Toc232552969 \h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14:paraId="1F27483C">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"_Toc232552970" </w:instrText>
          </w:r>
          <w:r>
            <w:fldChar w:fldCharType="separate"/>
          </w:r>
          <w:r>
            <w:rPr>
              <w:rStyle w:val="23"/>
              <w:rFonts w:ascii="Times New Roman" w:hAnsi="Times New Roman" w:cs="Times New Roman"/>
            </w:rPr>
            <w:t xml:space="preserve">4.9 </w:t>
          </w:r>
          <w:r>
            <w:rPr>
              <w:rFonts w:ascii="Times New Roman" w:hAnsi="Times New Roman" w:cs="Times New Roman" w:eastAsiaTheme="minorEastAsia"/>
              <w:lang w:val="en-US"/>
            </w:rPr>
            <w:tab/>
          </w:r>
          <w:r>
            <w:rPr>
              <w:rStyle w:val="23"/>
              <w:rFonts w:ascii="Times New Roman" w:hAnsi="Times New Roman" w:cs="Times New Roman"/>
            </w:rPr>
            <w:t>Constitutional Obstacles to the Amendment of the Act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_Toc232552970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14:paraId="410AF572">
          <w:pPr>
            <w:pStyle w:val="12"/>
            <w:tabs>
              <w:tab w:val="left" w:pos="1100"/>
              <w:tab w:val="right" w:leader="dot" w:pos="9017"/>
            </w:tabs>
            <w:rPr>
              <w:rFonts w:ascii="Times New Roman" w:hAnsi="Times New Roman" w:cs="Times New Roman" w:eastAsiaTheme="minorEastAsia"/>
              <w:lang w:val="en-US"/>
            </w:rPr>
          </w:pPr>
          <w:r>
            <w:fldChar w:fldCharType="begin"/>
          </w:r>
          <w:r>
            <w:instrText xml:space="preserve"> HYPERLINK \l "_Toc232552971" </w:instrText>
          </w:r>
          <w:r>
            <w:fldChar w:fldCharType="separate"/>
          </w:r>
          <w:r>
            <w:rPr>
              <w:rStyle w:val="23"/>
              <w:rFonts w:ascii="Times New Roman" w:hAnsi="Times New Roman" w:cs="Times New Roman"/>
            </w:rPr>
            <w:t xml:space="preserve">4.10 </w:t>
          </w:r>
          <w:r>
            <w:rPr>
              <w:rFonts w:ascii="Times New Roman" w:hAnsi="Times New Roman" w:cs="Times New Roman" w:eastAsiaTheme="minorEastAsia"/>
              <w:lang w:val="en-US"/>
            </w:rPr>
            <w:tab/>
          </w:r>
          <w:r>
            <w:rPr>
              <w:rStyle w:val="23"/>
              <w:rFonts w:ascii="Times New Roman" w:hAnsi="Times New Roman" w:cs="Times New Roman"/>
            </w:rPr>
            <w:t>Administrative and Institutional Deficiencies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_Toc232552971 \h </w:instrText>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rPr>
            <w:fldChar w:fldCharType="end"/>
          </w:r>
        </w:p>
        <w:p w14:paraId="5C76F379">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"_Toc232552972" </w:instrText>
          </w:r>
          <w:r>
            <w:fldChar w:fldCharType="separate"/>
          </w:r>
          <w:r>
            <w:rPr>
              <w:rStyle w:val="23"/>
              <w:rFonts w:ascii="Times New Roman" w:hAnsi="Times New Roman" w:cs="Times New Roman"/>
            </w:rPr>
            <w:t>CHAPTER FIVE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_Toc232552972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5A6759B9">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"_Toc232552973" </w:instrText>
          </w:r>
          <w:r>
            <w:fldChar w:fldCharType="separate"/>
          </w:r>
          <w:r>
            <w:rPr>
              <w:rStyle w:val="23"/>
              <w:rFonts w:ascii="Times New Roman" w:hAnsi="Times New Roman" w:cs="Times New Roman"/>
            </w:rPr>
            <w:t>SUMMARY OF FINDINGS, RECOMMENDATIONS AND CONCLUSION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_Toc232552973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49E9F635">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"_Toc232552974" </w:instrText>
          </w:r>
          <w:r>
            <w:fldChar w:fldCharType="separate"/>
          </w:r>
          <w:r>
            <w:rPr>
              <w:rStyle w:val="23"/>
              <w:rFonts w:ascii="Times New Roman" w:hAnsi="Times New Roman" w:cs="Times New Roman"/>
            </w:rPr>
            <w:t xml:space="preserve">5.1 </w:t>
          </w:r>
          <w:r>
            <w:rPr>
              <w:rFonts w:ascii="Times New Roman" w:hAnsi="Times New Roman" w:cs="Times New Roman" w:eastAsiaTheme="minorEastAsia"/>
              <w:lang w:val="en-US"/>
            </w:rPr>
            <w:tab/>
          </w:r>
          <w:r>
            <w:rPr>
              <w:rStyle w:val="23"/>
              <w:rFonts w:ascii="Times New Roman" w:hAnsi="Times New Roman" w:cs="Times New Roman"/>
            </w:rPr>
            <w:t>Summary of Findings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_Toc232552974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2F972D97">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"_Toc232552975" </w:instrText>
          </w:r>
          <w:r>
            <w:fldChar w:fldCharType="separate"/>
          </w:r>
          <w:r>
            <w:rPr>
              <w:rStyle w:val="23"/>
              <w:rFonts w:ascii="Times New Roman" w:hAnsi="Times New Roman" w:cs="Times New Roman"/>
              <w:lang w:val="en-US"/>
            </w:rPr>
            <w:t xml:space="preserve">5.2 </w:t>
          </w:r>
          <w:r>
            <w:rPr>
              <w:rFonts w:ascii="Times New Roman" w:hAnsi="Times New Roman" w:cs="Times New Roman" w:eastAsiaTheme="minorEastAsia"/>
              <w:lang w:val="en-US"/>
            </w:rPr>
            <w:tab/>
          </w:r>
          <w:r>
            <w:rPr>
              <w:rStyle w:val="23"/>
              <w:rFonts w:ascii="Times New Roman" w:hAnsi="Times New Roman" w:cs="Times New Roman"/>
              <w:lang w:val="en-US"/>
            </w:rPr>
            <w:t>Recommendations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_Toc232552975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14:paraId="55BCC7A1">
          <w:pPr>
            <w:pStyle w:val="12"/>
            <w:tabs>
              <w:tab w:val="left" w:pos="880"/>
              <w:tab w:val="right" w:leader="dot" w:pos="9017"/>
            </w:tabs>
            <w:rPr>
              <w:rFonts w:ascii="Times New Roman" w:hAnsi="Times New Roman" w:cs="Times New Roman" w:eastAsiaTheme="minorEastAsia"/>
              <w:lang w:val="en-US"/>
            </w:rPr>
          </w:pPr>
          <w:r>
            <w:fldChar w:fldCharType="begin"/>
          </w:r>
          <w:r>
            <w:instrText xml:space="preserve"> HYPERLINK \l "_Toc232552976" </w:instrText>
          </w:r>
          <w:r>
            <w:fldChar w:fldCharType="separate"/>
          </w:r>
          <w:r>
            <w:rPr>
              <w:rStyle w:val="23"/>
              <w:rFonts w:ascii="Times New Roman" w:hAnsi="Times New Roman" w:cs="Times New Roman"/>
              <w:lang w:val="en-US"/>
            </w:rPr>
            <w:t xml:space="preserve">5.3 </w:t>
          </w:r>
          <w:r>
            <w:rPr>
              <w:rFonts w:ascii="Times New Roman" w:hAnsi="Times New Roman" w:cs="Times New Roman" w:eastAsiaTheme="minorEastAsia"/>
              <w:lang w:val="en-US"/>
            </w:rPr>
            <w:tab/>
          </w:r>
          <w:r>
            <w:rPr>
              <w:rStyle w:val="23"/>
              <w:rFonts w:ascii="Times New Roman" w:hAnsi="Times New Roman" w:cs="Times New Roman"/>
              <w:lang w:val="en-US"/>
            </w:rPr>
            <w:t>Conclusion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_Toc232552976 \h </w:instrText>
          </w:r>
          <w:r>
            <w:rPr>
              <w:rFonts w:ascii="Times New Roman" w:hAnsi="Times New Roman" w:cs="Times New Roman"/>
            </w:rPr>
            <w:fldChar w:fldCharType="separate"/>
          </w:r>
          <w:r>
            <w:rPr>
              <w:rFonts w:ascii="Times New Roman" w:hAnsi="Times New Roman" w:cs="Times New Roman"/>
            </w:rPr>
            <w:t>64</w:t>
          </w:r>
          <w:r>
            <w:rPr>
              <w:rFonts w:ascii="Times New Roman" w:hAnsi="Times New Roman" w:cs="Times New Roman"/>
            </w:rPr>
            <w:fldChar w:fldCharType="end"/>
          </w:r>
          <w:r>
            <w:rPr>
              <w:rFonts w:ascii="Times New Roman" w:hAnsi="Times New Roman" w:cs="Times New Roman"/>
            </w:rPr>
            <w:fldChar w:fldCharType="end"/>
          </w:r>
        </w:p>
        <w:p w14:paraId="46435A28">
          <w:pPr>
            <w:pStyle w:val="11"/>
            <w:tabs>
              <w:tab w:val="right" w:leader="dot" w:pos="9017"/>
            </w:tabs>
            <w:rPr>
              <w:rFonts w:ascii="Times New Roman" w:hAnsi="Times New Roman" w:cs="Times New Roman" w:eastAsiaTheme="minorEastAsia"/>
              <w:lang w:val="en-US"/>
            </w:rPr>
          </w:pPr>
          <w:r>
            <w:fldChar w:fldCharType="begin"/>
          </w:r>
          <w:r>
            <w:instrText xml:space="preserve"> HYPERLINK \l "_Toc232552977" </w:instrText>
          </w:r>
          <w:r>
            <w:fldChar w:fldCharType="separate"/>
          </w:r>
          <w:r>
            <w:rPr>
              <w:rStyle w:val="23"/>
              <w:rFonts w:ascii="Times New Roman" w:hAnsi="Times New Roman" w:cs="Times New Roman"/>
              <w:lang w:val="en-US"/>
            </w:rPr>
            <w:t>BIBLIOGRAPHY</w:t>
          </w:r>
          <w:r>
            <w:rPr>
              <w:rStyle w:val="23"/>
              <w:rFonts w:ascii="Times New Roman" w:hAnsi="Times New Roman" w:cs="Times New Roman"/>
              <w:lang w:val="en-US"/>
            </w:rPr>
            <w:fldChar w:fldCharType="end"/>
          </w:r>
        </w:p>
        <w:p w14:paraId="20E6953D">
          <w:pPr/>
          <w:r>
            <w:rPr>
              <w:rFonts w:ascii="Times New Roman" w:hAnsi="Times New Roman" w:cs="Times New Roman"/>
            </w:rPr>
            <w:fldChar w:fldCharType="end"/>
          </w:r>
        </w:p>
      </w:sdtContent>
    </w:sdt>
    <w:p w14:paraId="48F7FD6E">
      <w:pPr>
        <w:spacing w:before="100" w:beforeAutospacing="1" w:after="100" w:afterAutospacing="1" w:line="360" w:lineRule="auto"/>
        <w:outlineLvl w:val="0"/>
        <w:rPr>
          <w:rFonts w:ascii="Times New Roman" w:hAnsi="Times New Roman" w:eastAsia="Times New Roman" w:cs="Times New Roman"/>
          <w:bCs/>
          <w:kern w:val="36"/>
          <w:sz w:val="24"/>
          <w:szCs w:val="24"/>
        </w:rPr>
      </w:pPr>
    </w:p>
    <w:p w14:paraId="6CC24E9B">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754E94DB">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62B17BD5">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4DE89855">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6F28DBAE">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0D808425">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165A4281">
      <w:pPr>
        <w:spacing w:before="100" w:beforeAutospacing="1" w:after="100" w:afterAutospacing="1" w:line="360" w:lineRule="auto"/>
        <w:jc w:val="center"/>
        <w:outlineLvl w:val="0"/>
        <w:rPr>
          <w:rFonts w:ascii="Times New Roman" w:hAnsi="Times New Roman" w:eastAsia="Times New Roman" w:cs="Times New Roman"/>
          <w:bCs/>
          <w:kern w:val="36"/>
          <w:sz w:val="24"/>
          <w:szCs w:val="24"/>
        </w:rPr>
      </w:pPr>
    </w:p>
    <w:p w14:paraId="1FB61825">
      <w:pPr>
        <w:spacing w:line="360" w:lineRule="auto"/>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br w:type="page"/>
      </w:r>
    </w:p>
    <w:p w14:paraId="5379A679">
      <w:pPr>
        <w:jc w:val="both"/>
        <w:rPr>
          <w:rFonts w:ascii="Times New Roman" w:hAnsi="Times New Roman" w:eastAsia="Times New Roman" w:cs="Times New Roman"/>
          <w:kern w:val="36"/>
          <w:sz w:val="24"/>
          <w:szCs w:val="24"/>
          <w:lang w:val="en-US"/>
        </w:rPr>
      </w:pPr>
    </w:p>
    <w:p w14:paraId="6C8ECFE8">
      <w:pPr>
        <w:spacing w:before="100" w:beforeAutospacing="1" w:after="100" w:afterAutospacing="1" w:line="360" w:lineRule="auto"/>
        <w:jc w:val="center"/>
        <w:outlineLvl w:val="0"/>
        <w:rPr>
          <w:rFonts w:ascii="Times New Roman" w:hAnsi="Times New Roman" w:eastAsia="Times New Roman" w:cs="Times New Roman"/>
          <w:b/>
          <w:bCs/>
          <w:kern w:val="36"/>
          <w:sz w:val="24"/>
          <w:szCs w:val="24"/>
        </w:rPr>
      </w:pPr>
    </w:p>
    <w:p w14:paraId="242D816F">
      <w:pPr>
        <w:spacing w:line="360" w:lineRule="auto"/>
        <w:rPr>
          <w:rFonts w:ascii="Times New Roman" w:hAnsi="Times New Roman" w:eastAsia="Times New Roman" w:cs="Times New Roman"/>
          <w:b/>
          <w:bCs/>
          <w:kern w:val="36"/>
          <w:sz w:val="24"/>
          <w:szCs w:val="24"/>
        </w:rPr>
        <w:sectPr>
          <w:headerReference r:id="rId4" w:type="default"/>
          <w:footerReference r:id="rId5" w:type="default"/>
          <w:pgSz w:w="11907" w:h="16839"/>
          <w:pgMar w:top="1440" w:right="1440" w:bottom="1440" w:left="1440" w:header="720" w:footer="720" w:gutter="0"/>
          <w:pgNumType w:fmt="lowerRoman" w:start="1"/>
          <w:cols w:space="720" w:num="1"/>
          <w:docGrid w:linePitch="360" w:charSpace="0"/>
        </w:sectPr>
      </w:pPr>
      <w:r>
        <w:rPr>
          <w:rFonts w:ascii="Times New Roman" w:hAnsi="Times New Roman" w:eastAsia="Times New Roman" w:cs="Times New Roman"/>
          <w:b/>
          <w:bCs/>
          <w:kern w:val="36"/>
          <w:sz w:val="24"/>
          <w:szCs w:val="24"/>
        </w:rPr>
        <w:br w:type="page"/>
      </w:r>
    </w:p>
    <w:p w14:paraId="2E8AE189">
      <w:pPr>
        <w:pStyle w:val="2"/>
      </w:pPr>
      <w:bookmarkStart w:id="21" w:name="_Toc232552250"/>
      <w:bookmarkStart w:id="22" w:name="_Toc232552913"/>
      <w:r>
        <w:t>CHAPTER ONE</w:t>
      </w:r>
      <w:bookmarkEnd w:id="21"/>
      <w:bookmarkEnd w:id="22"/>
    </w:p>
    <w:p w14:paraId="20FB1CE3">
      <w:pPr>
        <w:pStyle w:val="2"/>
      </w:pPr>
      <w:bookmarkStart w:id="23" w:name="_Toc232552914"/>
      <w:bookmarkStart w:id="24" w:name="_Toc232552251"/>
      <w:r>
        <w:t>INTRODUCTION</w:t>
      </w:r>
      <w:bookmarkEnd w:id="23"/>
      <w:bookmarkEnd w:id="24"/>
    </w:p>
    <w:p w14:paraId="5C8FFB51">
      <w:pPr>
        <w:pStyle w:val="3"/>
      </w:pPr>
      <w:bookmarkStart w:id="25" w:name="_Toc232552252"/>
      <w:bookmarkStart w:id="26" w:name="_Toc232552915"/>
      <w:r>
        <w:t xml:space="preserve">1.1 </w:t>
      </w:r>
      <w:r>
        <w:tab/>
      </w:r>
      <w:r>
        <w:t>Background to the Study</w:t>
      </w:r>
      <w:bookmarkEnd w:id="25"/>
      <w:bookmarkEnd w:id="26"/>
    </w:p>
    <w:p w14:paraId="1AA93DE0">
      <w:pPr>
        <w:spacing w:line="48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rPr>
        <w:t xml:space="preserve">Land constitutes the foundation upon which human depends for habitation, agriculture, commerce, industry, transportation and public infrastructure. </w:t>
      </w:r>
      <w:r>
        <w:rPr>
          <w:rFonts w:ascii="Times New Roman" w:hAnsi="Times New Roman" w:eastAsia="Times New Roman" w:cs="Times New Roman"/>
          <w:color w:val="000000"/>
          <w:sz w:val="24"/>
          <w:szCs w:val="24"/>
          <w:lang w:eastAsia="en-GB"/>
        </w:rPr>
        <w:t xml:space="preserve">Beyond its </w:t>
      </w:r>
      <w:r>
        <w:rPr>
          <w:rFonts w:ascii="Times New Roman" w:hAnsi="Times New Roman" w:eastAsia="Times New Roman" w:cs="Times New Roman"/>
          <w:color w:val="000000"/>
          <w:sz w:val="24"/>
          <w:szCs w:val="24"/>
          <w:lang w:eastAsia="en-GB"/>
        </w:rPr>
        <w:t>economic</w:t>
      </w:r>
      <w:r>
        <w:rPr>
          <w:rFonts w:ascii="Times New Roman" w:hAnsi="Times New Roman" w:eastAsia="Times New Roman" w:cs="Times New Roman"/>
          <w:color w:val="000000"/>
          <w:sz w:val="24"/>
          <w:szCs w:val="24"/>
          <w:lang w:eastAsia="en-GB"/>
        </w:rPr>
        <w:t xml:space="preserve"> value, it plays a significant role in shaping social identity, conferring political authority, and preserving cultural continuity.</w:t>
      </w:r>
      <w:r>
        <w:rPr>
          <w:rStyle w:val="22"/>
          <w:rFonts w:ascii="Times New Roman" w:hAnsi="Times New Roman" w:eastAsia="Times New Roman" w:cs="Times New Roman"/>
          <w:sz w:val="24"/>
          <w:szCs w:val="24"/>
        </w:rPr>
        <w:footnoteReference w:id="0"/>
      </w:r>
      <w:r>
        <w:rPr>
          <w:rFonts w:ascii="Times New Roman" w:hAnsi="Times New Roman" w:eastAsia="Times New Roman" w:cs="Times New Roman"/>
          <w:sz w:val="24"/>
          <w:szCs w:val="24"/>
        </w:rPr>
        <w:t xml:space="preserve"> Consequently, the legal rules which govern access to, control of and dealings in land have significant implications. Globally, states regulate land in order to promote development, protect the environmental as well as provide infrastructure and equitable access. Such regulation may include planning controls, title registration, taxation and compulsory acquisition for genuine public purposes.</w:t>
      </w:r>
      <w:r>
        <w:rPr>
          <w:rStyle w:val="22"/>
          <w:rFonts w:ascii="Times New Roman" w:hAnsi="Times New Roman" w:eastAsia="Times New Roman" w:cs="Times New Roman"/>
          <w:sz w:val="24"/>
          <w:szCs w:val="24"/>
        </w:rPr>
        <w:footnoteReference w:id="1"/>
      </w:r>
      <w:r>
        <w:rPr>
          <w:rFonts w:ascii="Times New Roman" w:hAnsi="Times New Roman" w:eastAsia="Times New Roman" w:cs="Times New Roman"/>
          <w:sz w:val="24"/>
          <w:szCs w:val="24"/>
        </w:rPr>
        <w:t xml:space="preserve"> Nevertheless, it has been suggested that governmental control must be balanced against the rights of individuals and communities.</w:t>
      </w:r>
      <w:r>
        <w:rPr>
          <w:rStyle w:val="22"/>
          <w:rFonts w:ascii="Times New Roman" w:hAnsi="Times New Roman" w:eastAsia="Times New Roman" w:cs="Times New Roman"/>
          <w:sz w:val="24"/>
          <w:szCs w:val="24"/>
        </w:rPr>
        <w:footnoteReference w:id="2"/>
      </w:r>
      <w:r>
        <w:rPr>
          <w:rFonts w:ascii="Times New Roman" w:hAnsi="Times New Roman" w:eastAsia="Times New Roman" w:cs="Times New Roman"/>
          <w:sz w:val="24"/>
          <w:szCs w:val="24"/>
        </w:rPr>
        <w:t xml:space="preserve"> The principal challenge is whether regulatory powers of the government are exercised lawfully.</w:t>
      </w:r>
    </w:p>
    <w:p w14:paraId="69B77FFB">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Before 1978, the Land system in Nigeria was diverse. In Southern Nigeria, landholding was governed by customary law, received English law and regional legislation. On the other hand, Northern Nigeria operated under the Land Tenure Law. Customary tenure recognised individual, family and communal interests.</w:t>
      </w:r>
      <w:r>
        <w:rPr>
          <w:rStyle w:val="22"/>
          <w:rFonts w:ascii="Times New Roman" w:hAnsi="Times New Roman" w:eastAsia="Times New Roman" w:cs="Times New Roman"/>
          <w:sz w:val="24"/>
          <w:szCs w:val="24"/>
        </w:rPr>
        <w:footnoteReference w:id="3"/>
      </w:r>
      <w:r>
        <w:rPr>
          <w:rFonts w:ascii="Times New Roman" w:hAnsi="Times New Roman" w:eastAsia="Times New Roman" w:cs="Times New Roman"/>
          <w:sz w:val="24"/>
          <w:szCs w:val="24"/>
        </w:rPr>
        <w:t xml:space="preserve"> However, the incidents of such interests varied among ethnic communities. Hence, the tenure was diverse and its government encountered difficulties in obtaining land for public projects. In the consideration of the above issues among others, the Land Use Decree 1978 was enacted subsequently. This became the Land Use Act (LUA), Cap L5, LFN 2004, which remains the principal legislation governing land administration in Nigeria. Section 1 of the Act vests all land within the territory of each state, except land vested in the Federal Government or its agencies, in the Governor of that state. The Governor is required to hold and administer the land in trust for the use and common benefit of Nigerians. Under Section 2, the governor controls and manages the urban land. Land outside urban areas is controlled by Local Governments. Sections 5 and 6 empower the Governor and Local Governments to grant statutory and customary rights of occupancy respectively. Sections 21 and 22 regulate the alienation of these rights. Sections 28–33 deal with revocation, compensation and resettlement. Sections 34–36 preserve some interests existing before the commencement of the Act as deemed rights of occupancy. </w:t>
      </w:r>
    </w:p>
    <w:p w14:paraId="3FB5B692">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Therefore, the Act introduced a centralised system under which private and customary interests are exercised within a statutory framework of rights of occupancy. However, the courts have rejected the proposition that the Act confiscated or extinguished every pre-existing interest. In </w:t>
      </w:r>
      <w:r>
        <w:rPr>
          <w:rFonts w:ascii="Times New Roman" w:hAnsi="Times New Roman" w:eastAsia="Times New Roman" w:cs="Times New Roman"/>
          <w:i/>
          <w:iCs/>
          <w:sz w:val="24"/>
          <w:szCs w:val="24"/>
        </w:rPr>
        <w:t>Abioye v Yakubu</w:t>
      </w:r>
      <w:r>
        <w:rPr>
          <w:rFonts w:ascii="Times New Roman" w:hAnsi="Times New Roman" w:eastAsia="Times New Roman" w:cs="Times New Roman"/>
          <w:sz w:val="24"/>
          <w:szCs w:val="24"/>
        </w:rPr>
        <w:t>,</w:t>
      </w:r>
      <w:r>
        <w:rPr>
          <w:rStyle w:val="22"/>
          <w:rFonts w:ascii="Times New Roman" w:hAnsi="Times New Roman" w:eastAsia="Times New Roman" w:cs="Times New Roman"/>
          <w:sz w:val="24"/>
          <w:szCs w:val="24"/>
        </w:rPr>
        <w:footnoteReference w:id="4"/>
      </w:r>
      <w:r>
        <w:rPr>
          <w:rFonts w:ascii="Times New Roman" w:hAnsi="Times New Roman" w:eastAsia="Times New Roman" w:cs="Times New Roman"/>
          <w:sz w:val="24"/>
          <w:szCs w:val="24"/>
        </w:rPr>
        <w:t xml:space="preserve"> there was a dispute about agricultural land occupied under customary tenure before the commencement of the Act. The Supreme Court held that the transitional provisions preserved qualifying pre-existing interests as deemed customary rights of occupancy. The decision established that the Act did not intend to dispossess persons who occupy or use land before 1978. Similarly, in </w:t>
      </w:r>
      <w:r>
        <w:rPr>
          <w:rFonts w:ascii="Times New Roman" w:hAnsi="Times New Roman" w:eastAsia="Times New Roman" w:cs="Times New Roman"/>
          <w:i/>
          <w:iCs/>
          <w:sz w:val="24"/>
          <w:szCs w:val="24"/>
        </w:rPr>
        <w:t>Adole v Gwar</w:t>
      </w:r>
      <w:r>
        <w:rPr>
          <w:rFonts w:ascii="Times New Roman" w:hAnsi="Times New Roman" w:eastAsia="Times New Roman" w:cs="Times New Roman"/>
          <w:sz w:val="24"/>
          <w:szCs w:val="24"/>
        </w:rPr>
        <w:t>,</w:t>
      </w:r>
      <w:r>
        <w:rPr>
          <w:rStyle w:val="22"/>
          <w:rFonts w:ascii="Times New Roman" w:hAnsi="Times New Roman" w:eastAsia="Times New Roman" w:cs="Times New Roman"/>
          <w:sz w:val="24"/>
          <w:szCs w:val="24"/>
        </w:rPr>
        <w:footnoteReference w:id="5"/>
      </w:r>
      <w:r>
        <w:rPr>
          <w:rFonts w:ascii="Times New Roman" w:hAnsi="Times New Roman" w:eastAsia="Times New Roman" w:cs="Times New Roman"/>
          <w:sz w:val="24"/>
          <w:szCs w:val="24"/>
        </w:rPr>
        <w:t xml:space="preserve"> the parties claimed title to disputed land through competing traditional histories. One party relied upon a certificate of occupancy which was issued subsequently. The Supreme Court held that the Act should not be used to deprive a person of an existing customary title because another person later obtained a certificate of occupancy. A certificate issued over land subject to a superior pre-existing interest cannot, by itself, extinguish that interest. </w:t>
      </w:r>
    </w:p>
    <w:p w14:paraId="3929D894">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However, it has been suggested that the Act has generated legal and administrative difficulties. Firstly, it concentrates extensive powers on the State Governors. More so, there are delays in obtaining Governor’s consent.</w:t>
      </w:r>
      <w:r>
        <w:rPr>
          <w:rStyle w:val="22"/>
          <w:rFonts w:ascii="Times New Roman" w:hAnsi="Times New Roman" w:eastAsia="Times New Roman" w:cs="Times New Roman"/>
          <w:sz w:val="24"/>
          <w:szCs w:val="24"/>
        </w:rPr>
        <w:footnoteReference w:id="6"/>
      </w:r>
      <w:r>
        <w:rPr>
          <w:rFonts w:ascii="Times New Roman" w:hAnsi="Times New Roman" w:eastAsia="Times New Roman" w:cs="Times New Roman"/>
          <w:sz w:val="24"/>
          <w:szCs w:val="24"/>
        </w:rPr>
        <w:t xml:space="preserve"> It also grants the governor broad powers to revoke titles and compensation is limited to unexhausted improvements. Secondly, customary interests are not document securely. Critics argue that the act has increased the cost of land. These problems are significant in view of the current situation in Nigeria.</w:t>
      </w:r>
      <w:r>
        <w:rPr>
          <w:rStyle w:val="22"/>
          <w:rFonts w:ascii="Times New Roman" w:hAnsi="Times New Roman" w:eastAsia="Times New Roman" w:cs="Times New Roman"/>
          <w:sz w:val="24"/>
          <w:szCs w:val="24"/>
        </w:rPr>
        <w:footnoteReference w:id="7"/>
      </w:r>
      <w:r>
        <w:rPr>
          <w:rFonts w:ascii="Times New Roman" w:hAnsi="Times New Roman" w:eastAsia="Times New Roman" w:cs="Times New Roman"/>
          <w:sz w:val="24"/>
          <w:szCs w:val="24"/>
        </w:rPr>
        <w:t xml:space="preserve"> Studies indicate that there have been of rapid urbanization and housing deficits. There are also demands for agriculture and infrastructure.</w:t>
      </w:r>
      <w:r>
        <w:rPr>
          <w:rStyle w:val="22"/>
          <w:rFonts w:ascii="Times New Roman" w:hAnsi="Times New Roman" w:eastAsia="Times New Roman" w:cs="Times New Roman"/>
          <w:sz w:val="24"/>
          <w:szCs w:val="24"/>
        </w:rPr>
        <w:footnoteReference w:id="8"/>
      </w:r>
      <w:r>
        <w:rPr>
          <w:rFonts w:ascii="Times New Roman" w:hAnsi="Times New Roman" w:eastAsia="Times New Roman" w:cs="Times New Roman"/>
          <w:sz w:val="24"/>
          <w:szCs w:val="24"/>
        </w:rPr>
        <w:t xml:space="preserve"> Therefore, the present research appraises the provisions, institutions and operation of the LUA. </w:t>
      </w:r>
    </w:p>
    <w:p w14:paraId="156681EE">
      <w:pPr>
        <w:pStyle w:val="3"/>
      </w:pPr>
      <w:bookmarkStart w:id="27" w:name="_Toc232552916"/>
      <w:bookmarkStart w:id="28" w:name="_Toc232552253"/>
      <w:r>
        <w:t xml:space="preserve">1.2 </w:t>
      </w:r>
      <w:r>
        <w:tab/>
      </w:r>
      <w:r>
        <w:t>Statement of the Problem</w:t>
      </w:r>
      <w:bookmarkEnd w:id="27"/>
      <w:bookmarkEnd w:id="28"/>
    </w:p>
    <w:p w14:paraId="18934AF9">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LUA was enacted to unify land administration. However, more than four decades after its enactment, it has not realised its objectives fully. Firstly, the act concentrates powers for administration of land on the Governor. Sections 1, 3, 5, 22 and 28 permit the Governor to designate urban areas and grant statutory rights of occupancy. Section 1 describes the Governor as a trustee. However, the Act does not impose enforceable fiduciary obligations or establish an independent mechanism for scrutinising the exercise of those powers. Secondly, the Act fails to clearly define the legal nature of the interest conferred by a right of occupancy. Sections 34 and 36 preserve qualifying pre-existing interests. However, section 1 appears to vest land in the Governor. This creates uncertainty as to whether the Governor possesses beneficial ownership, radical title or merely administrative control. It also creates confusion regarding the relationship between customary ownership, deemed rights of occupancy and certificates issued by government. </w:t>
      </w:r>
    </w:p>
    <w:p w14:paraId="65AFFF2E">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Thirdly, Section 22 provides that a holder of a statutory right of occupancy cannot alienate the right by assignment, mortgage, transfer of possession, or sublease without first obtaining the Governor's consent.</w:t>
      </w:r>
    </w:p>
    <w:p w14:paraId="2BDD87EA">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Act does not prescribe an effective period within which consent must be granted or refused. Hence, the applications remain pending and increases the expense and uncertainty of conveyancing. Fourthly, the provisions for revocation and compensation does not protect landholders. Section 28 gives the Governor broad powers to revoke a right of occupancy for overriding public interest. Section 29 provides compensation for unexhausted improvements rather than the market value of the land itself. Section 47 attempts to restrict judicial inquiry into certain decisions and the adequacy of compensation. This creates tension with sections 43 and 44 of the Constitution, which recognise the right to own immovable property and compensation for compulsory acquisition as well as access to a court or tribunal. Finally, section 315(5)(d) of the Constitution gives the Act a specially protected status. Hence, alteration is subject to constitutional amendment. Hence, it is difficult to correct provisions which are outdated. Therefore, the problem addressed by this study is whether the Act remain suitable for contemporary land administration in Nigeria and what reforms are necessary to address its deficiencies.</w:t>
      </w:r>
    </w:p>
    <w:p w14:paraId="6CB3EDAD">
      <w:pPr>
        <w:pStyle w:val="3"/>
      </w:pPr>
      <w:bookmarkStart w:id="29" w:name="_Toc232552917"/>
      <w:bookmarkStart w:id="30" w:name="_Toc232552254"/>
      <w:r>
        <w:t xml:space="preserve">1.3 </w:t>
      </w:r>
      <w:r>
        <w:tab/>
      </w:r>
      <w:r>
        <w:t>Research Questions</w:t>
      </w:r>
      <w:bookmarkEnd w:id="29"/>
      <w:bookmarkEnd w:id="30"/>
    </w:p>
    <w:p w14:paraId="4DB2059A">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research addresses the following questions:</w:t>
      </w:r>
    </w:p>
    <w:p w14:paraId="418DB33F">
      <w:pPr>
        <w:numPr>
          <w:ilvl w:val="0"/>
          <w:numId w:val="1"/>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are the major provisions of the LUA and the legislative framework governing land administration under the Act?</w:t>
      </w:r>
    </w:p>
    <w:p w14:paraId="74224A9B">
      <w:pPr>
        <w:numPr>
          <w:ilvl w:val="0"/>
          <w:numId w:val="1"/>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institutions are responsible for land administration under the LUA, and what are their respective functions?</w:t>
      </w:r>
    </w:p>
    <w:p w14:paraId="62950A87">
      <w:pPr>
        <w:numPr>
          <w:ilvl w:val="0"/>
          <w:numId w:val="1"/>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are the major defects in the operation of the LUA?</w:t>
      </w:r>
    </w:p>
    <w:p w14:paraId="0AC1BE61">
      <w:pPr>
        <w:numPr>
          <w:ilvl w:val="0"/>
          <w:numId w:val="1"/>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reforms are required for the amendment of the LUA?</w:t>
      </w:r>
    </w:p>
    <w:p w14:paraId="45B140D7">
      <w:pPr>
        <w:pStyle w:val="3"/>
      </w:pPr>
      <w:bookmarkStart w:id="31" w:name="_Toc232552918"/>
      <w:bookmarkStart w:id="32" w:name="_Toc232552255"/>
      <w:r>
        <w:t xml:space="preserve">1.4 </w:t>
      </w:r>
      <w:r>
        <w:tab/>
      </w:r>
      <w:r>
        <w:t>Aim and Objectives of the Research</w:t>
      </w:r>
      <w:bookmarkEnd w:id="31"/>
      <w:bookmarkEnd w:id="32"/>
    </w:p>
    <w:p w14:paraId="3C115B63">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aim of this research is to appraise the LUA, Cap L5, Laws of the Federation of Nigeria 2004 and, in doing so, elucidate the need for its amendment.</w:t>
      </w:r>
    </w:p>
    <w:p w14:paraId="00EBB24C">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specific objectives of the research are:</w:t>
      </w:r>
    </w:p>
    <w:p w14:paraId="6D23AC1A">
      <w:pPr>
        <w:numPr>
          <w:ilvl w:val="0"/>
          <w:numId w:val="2"/>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examine the major provisions of the LUA and the legislative framework for land administration under the Act.</w:t>
      </w:r>
    </w:p>
    <w:p w14:paraId="0C8E5EE1">
      <w:pPr>
        <w:numPr>
          <w:ilvl w:val="0"/>
          <w:numId w:val="2"/>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examine the institutional framework for land administration under the LUA.</w:t>
      </w:r>
    </w:p>
    <w:p w14:paraId="4CDA9F4D">
      <w:pPr>
        <w:numPr>
          <w:ilvl w:val="0"/>
          <w:numId w:val="2"/>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evaluate the defects in the operation of the LUA.</w:t>
      </w:r>
    </w:p>
    <w:p w14:paraId="7A1E2456">
      <w:pPr>
        <w:numPr>
          <w:ilvl w:val="0"/>
          <w:numId w:val="2"/>
        </w:num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recommend reforms for the amendment of the LUA.</w:t>
      </w:r>
    </w:p>
    <w:p w14:paraId="00162878">
      <w:pPr>
        <w:pStyle w:val="3"/>
      </w:pPr>
      <w:r>
        <w:t xml:space="preserve">1.5 </w:t>
      </w:r>
      <w:r>
        <w:tab/>
      </w:r>
      <w:r>
        <w:t>Research Methodology</w:t>
      </w:r>
    </w:p>
    <w:p w14:paraId="6D1B37E4">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research adopts the doctrinal methodology. Doctrinal research involves the systematic identification, interpretation and analysis of legal principles contained in legislation, judicial decisions and other authoritative legal materials.</w:t>
      </w:r>
      <w:r>
        <w:rPr>
          <w:rStyle w:val="22"/>
          <w:rFonts w:ascii="Times New Roman" w:hAnsi="Times New Roman" w:eastAsia="Times New Roman" w:cs="Times New Roman"/>
          <w:sz w:val="24"/>
          <w:szCs w:val="24"/>
        </w:rPr>
        <w:footnoteReference w:id="9"/>
      </w:r>
      <w:r>
        <w:rPr>
          <w:rFonts w:ascii="Times New Roman" w:hAnsi="Times New Roman" w:eastAsia="Times New Roman" w:cs="Times New Roman"/>
          <w:sz w:val="24"/>
          <w:szCs w:val="24"/>
        </w:rPr>
        <w:t xml:space="preserve"> It is appropriate for this study because the research seeks to determine the content of the LUA and the manner in which its provisions have been interpreted. It would also determine the extent to which its structure requires reform. Primary sources of evidence include the CFRN 1999, the LUA, relevant state land-registration legislation and judicial decisions. Secondary sources include published legal textbooks, peer-reviewed journal articles and scholarly commentaries. The study is library-based. Hence, it does not employ interviews, questionnaires or other empirical methods. Nevertheless, the doctrinal method is appropriate because the inquiry concerns the provisions, judicial interpretation, institutional design and reform of an existing statute.</w:t>
      </w:r>
      <w:r>
        <w:rPr>
          <w:rFonts w:ascii="Times New Roman" w:hAnsi="Times New Roman" w:eastAsia="Times New Roman" w:cs="Times New Roman"/>
          <w:sz w:val="24"/>
          <w:szCs w:val="24"/>
        </w:rPr>
        <w:tab/>
      </w:r>
    </w:p>
    <w:p w14:paraId="7164EF80">
      <w:pPr>
        <w:pStyle w:val="3"/>
      </w:pPr>
      <w:r>
        <w:t>1.6</w:t>
      </w:r>
      <w:r>
        <w:tab/>
      </w:r>
      <w:r>
        <w:t>Scope and Limitation of the Study</w:t>
      </w:r>
    </w:p>
    <w:p w14:paraId="4844EFDF">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scope of this research is limited to the appraisal of the LUA, Cap L5, Laws of the Federation of Nigeria 2004. It examines the legal rules created by the Act and the institutions which are responsible for their administration. The study covers the vesting and control of land, designation of urban areas, statutory and customary rights of occupancy, deemed rights, certificates of occupancy, alienation, Governor’s consent, revocation, compulsory acquisition, compensation, resettlement and jurisdiction over disputes.  Legislatively, the project covers the CFRN 1999 and the land use Act. Relevant state legislation on registration of instruments, registration of title, physical planning and land administration is considered only where it complements or affects the operation of the Act. Institutionally, the project examines the functions of State Governors, Local Governments, Land Use and Allocation Committees, Land Allocation Advisory Committees, Ministries responsible for lands, land registries and the courts. The roles of traditional authorities, family heads and community representatives are also considered where they affect customary and communal land. The study covers Nigeria. Indeed, examples from particular states may be used to illustrate differences in administrative practices. However, the study does not undertake a comprehensive comparison of the land laws and procedures of all thirty-six states. The study extends from the enactment of the LUA on 29 March 1978 to July 2026. </w:t>
      </w:r>
    </w:p>
    <w:p w14:paraId="17B306EB">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work also has notable limitations. Firstly, this is not empirical research. It does not interview landholders, officials, estate surveyors, financial institutions or traditional authorities. Therefore, it cannot measure consent-processing periods independently or the prevalence of unofficial payments across different states. Secondly, land-administration practices, charges and registration procedures vary considerably among states. This limits the extent to which a single illustration about administration may be generalised. Thirdly, some records for allocation, instruments for revocation and assessments for compensation are not available publicly. Consequently, the analysis is based on accessible legislation, reported cases as well as published scholarship. These limitations do not undermine the study because the study is concerned about the legal and institutional structure of the Act. The available materials are sufficient to identify statutory ambiguities, constitutional tensions and areas requiring reform.</w:t>
      </w:r>
    </w:p>
    <w:p w14:paraId="4A1D3518">
      <w:pPr>
        <w:pStyle w:val="3"/>
      </w:pPr>
      <w:r>
        <w:t>1.7</w:t>
      </w:r>
      <w:r>
        <w:tab/>
      </w:r>
      <w:r>
        <w:t>Significance of the Study</w:t>
      </w:r>
    </w:p>
    <w:p w14:paraId="5D8ABDBF">
      <w:pPr>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research is significant because the administration of land has implications for housing, agriculture, infrastructure, commerce, finance and social stability in Nigeria. The study is important to the legislature because it identifies provisions which require amendment. It examines the entrenchment of the Act, gubernatorial powers, absence of timelines for consent applications, provisions for revocation, restrictive compensation rules and inadequate protection of pre-existing customary interests. The research may assist the National Assembly and State Houses of Assembly in considering reforms. Previous legislative proposals have sought to remove the Act from the specially protected status under section 315(5). This demonstrates that its status in the constitution remains a recognised obstacle to reform. The study is also significant to the judiciary and legal practitioners. It analyses the principles established in relevant cases. The present study assists practitioners because it brings judicial interpretations together and it show that they are related to the need for legislative clarification. Government ministries, land registries and Local Governments would also benefit from the study because the study examines administrative weaknesses in these institutions. The research is also significant to landholders, customary communities, mortgagees and investors. It explains why possession of a certificate of occupancy does not defeat a superior pre-existing title and why consent and registration remain material to land transactions. Finally, the study contributes to academic literature. It integrates statutory, constitutional, institutional and socio-economic weakness of the act. </w:t>
      </w:r>
    </w:p>
    <w:p w14:paraId="799210F7">
      <w:pPr>
        <w:pStyle w:val="3"/>
      </w:pPr>
      <w:bookmarkStart w:id="33" w:name="_Toc232552922"/>
      <w:bookmarkStart w:id="34" w:name="_Toc232552259"/>
      <w:r>
        <w:t xml:space="preserve">1.8 </w:t>
      </w:r>
      <w:r>
        <w:tab/>
      </w:r>
      <w:r>
        <w:t>Literature Review</w:t>
      </w:r>
      <w:bookmarkEnd w:id="33"/>
      <w:bookmarkEnd w:id="34"/>
    </w:p>
    <w:p w14:paraId="73A1D9A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Notable scholars have written extensively on this area. The literature is reviewed under four themes and they correspond with the issues and objectives of the research. </w:t>
      </w:r>
    </w:p>
    <w:p w14:paraId="2326BFBF">
      <w:pPr>
        <w:spacing w:line="480" w:lineRule="auto"/>
        <w:jc w:val="both"/>
        <w:rPr>
          <w:rFonts w:ascii="Times New Roman" w:hAnsi="Times New Roman" w:cs="Times New Roman"/>
          <w:b/>
          <w:bCs/>
          <w:sz w:val="24"/>
          <w:szCs w:val="24"/>
        </w:rPr>
      </w:pPr>
      <w:bookmarkStart w:id="35" w:name="_Toc232552260"/>
      <w:r>
        <w:rPr>
          <w:rFonts w:ascii="Times New Roman" w:hAnsi="Times New Roman" w:cs="Times New Roman"/>
          <w:b/>
          <w:bCs/>
          <w:sz w:val="24"/>
          <w:szCs w:val="24"/>
        </w:rPr>
        <w:t xml:space="preserve">i. </w:t>
      </w:r>
      <w:r>
        <w:rPr>
          <w:rFonts w:ascii="Times New Roman" w:hAnsi="Times New Roman" w:cs="Times New Roman"/>
          <w:b/>
          <w:bCs/>
          <w:sz w:val="24"/>
          <w:szCs w:val="24"/>
        </w:rPr>
        <w:tab/>
      </w:r>
      <w:r>
        <w:rPr>
          <w:rFonts w:ascii="Times New Roman" w:hAnsi="Times New Roman" w:cs="Times New Roman"/>
          <w:b/>
          <w:bCs/>
          <w:sz w:val="24"/>
          <w:szCs w:val="24"/>
        </w:rPr>
        <w:t>The Nature of Rights and Existing Interests under the Act</w:t>
      </w:r>
      <w:bookmarkEnd w:id="35"/>
    </w:p>
    <w:p w14:paraId="2096B62A">
      <w:pPr>
        <w:spacing w:line="480" w:lineRule="auto"/>
        <w:jc w:val="both"/>
        <w:rPr>
          <w:rFonts w:ascii="Times New Roman" w:hAnsi="Times New Roman" w:cs="Times New Roman"/>
          <w:sz w:val="24"/>
          <w:szCs w:val="24"/>
        </w:rPr>
      </w:pPr>
      <w:r>
        <w:rPr>
          <w:rFonts w:ascii="Times New Roman" w:hAnsi="Times New Roman" w:cs="Times New Roman"/>
          <w:sz w:val="24"/>
          <w:szCs w:val="24"/>
        </w:rPr>
        <w:t>Agbor</w:t>
      </w:r>
      <w:r>
        <w:rPr>
          <w:rStyle w:val="22"/>
          <w:rFonts w:ascii="Times New Roman" w:hAnsi="Times New Roman" w:eastAsia="Times New Roman" w:cs="Times New Roman"/>
          <w:sz w:val="24"/>
          <w:szCs w:val="24"/>
        </w:rPr>
        <w:footnoteReference w:id="10"/>
      </w:r>
      <w:r>
        <w:rPr>
          <w:rFonts w:ascii="Times New Roman" w:hAnsi="Times New Roman" w:cs="Times New Roman"/>
          <w:sz w:val="24"/>
          <w:szCs w:val="24"/>
        </w:rPr>
        <w:t xml:space="preserve"> determined the legal status of interests acquired before the commencement of the Act. They found that the Act transformed land tenure in Nigeria. However, it did not extinguish pre-existing interests. Persons who occupy or use land before 1978 hold such land as deemed holders under sections 34 and 36. The study recognises that the effect of the Act cannot be understood solely by section 1 which vests land on the governor of the state. However, the study concentrates on whether existing interests survived. It does not give attention to the difficulty in documenting deemed rights. Theoretically, a person may possess an interest. However, they may remain vulnerable where government records are incomplete or where another person obtains a certificate over the same land. </w:t>
      </w:r>
    </w:p>
    <w:p w14:paraId="50D73070">
      <w:pPr>
        <w:spacing w:line="480" w:lineRule="auto"/>
        <w:jc w:val="both"/>
        <w:rPr>
          <w:rFonts w:ascii="Times New Roman" w:hAnsi="Times New Roman" w:cs="Times New Roman"/>
          <w:sz w:val="24"/>
          <w:szCs w:val="24"/>
        </w:rPr>
      </w:pPr>
      <w:r>
        <w:rPr>
          <w:rFonts w:ascii="Times New Roman" w:hAnsi="Times New Roman" w:cs="Times New Roman"/>
          <w:sz w:val="24"/>
          <w:szCs w:val="24"/>
        </w:rPr>
        <w:t>On the other hand, Nwabueze</w:t>
      </w:r>
      <w:r>
        <w:rPr>
          <w:rStyle w:val="22"/>
          <w:rFonts w:ascii="Times New Roman" w:hAnsi="Times New Roman" w:eastAsia="Times New Roman" w:cs="Times New Roman"/>
          <w:sz w:val="24"/>
          <w:szCs w:val="24"/>
        </w:rPr>
        <w:footnoteReference w:id="11"/>
      </w:r>
      <w:r>
        <w:rPr>
          <w:rFonts w:ascii="Times New Roman" w:hAnsi="Times New Roman" w:cs="Times New Roman"/>
          <w:sz w:val="24"/>
          <w:szCs w:val="24"/>
        </w:rPr>
        <w:t xml:space="preserve"> clarified the meaning of land and the legal interests that may exist in it. He pointed out that land is not limited to the physical surface of the earth but it also includes enforceable rights and interests which are attached to it. Furthermore, it established that the content of property rights is shaped by law and may change according to the legal system which applies. This work is relevant because it prevents the appraisal of the Act from being reduced to physical possession. Revocation, consent and compulsory acquisition affect a bundle of proprietary interests. However, the text covers a wider scope. Hence, it does not examine how the LUA divides beneficial interest, control and occupancy specifically. It does not resolve whether section 1 gives the Governor ownership or administrative authority. </w:t>
      </w:r>
    </w:p>
    <w:p w14:paraId="6A6A27F4">
      <w:pPr>
        <w:spacing w:line="480" w:lineRule="auto"/>
        <w:jc w:val="both"/>
        <w:rPr>
          <w:rFonts w:ascii="Times New Roman" w:hAnsi="Times New Roman" w:cs="Times New Roman"/>
          <w:sz w:val="24"/>
          <w:szCs w:val="24"/>
        </w:rPr>
      </w:pPr>
      <w:r>
        <w:rPr>
          <w:rFonts w:ascii="Times New Roman" w:hAnsi="Times New Roman" w:cs="Times New Roman"/>
          <w:sz w:val="24"/>
          <w:szCs w:val="24"/>
        </w:rPr>
        <w:t>Ekpo and others</w:t>
      </w:r>
      <w:r>
        <w:rPr>
          <w:rStyle w:val="22"/>
          <w:rFonts w:ascii="Times New Roman" w:hAnsi="Times New Roman" w:eastAsia="Times New Roman" w:cs="Times New Roman"/>
          <w:sz w:val="24"/>
          <w:szCs w:val="24"/>
        </w:rPr>
        <w:footnoteReference w:id="12"/>
      </w:r>
      <w:r>
        <w:rPr>
          <w:rFonts w:ascii="Times New Roman" w:hAnsi="Times New Roman" w:cs="Times New Roman"/>
          <w:sz w:val="24"/>
          <w:szCs w:val="24"/>
        </w:rPr>
        <w:t xml:space="preserve"> evaluated whether the description of the Governor as trustee under section 1 creates a genuine legal trust. They compared the statutory arrangement with traditional principles of trust and judicial decisions. They found that the trusteeship created by the Act differs from an ordinary private trust substantially. This is because Nigerians cannot compel the Governor to account as a conventional trustee. Furthermore, they found that the status of the Act in the constitution strengthens governmental control.  The study makes an important contribution. This is because it exposes the weakness of executive control as trusteeship where there are no fiduciary obligations. However, a limitation is that it concentrates on trust and it does not investigate the institutional mechanisms that could make the trust meaningful. </w:t>
      </w:r>
    </w:p>
    <w:p w14:paraId="058BB1BB">
      <w:pPr>
        <w:spacing w:line="480" w:lineRule="auto"/>
        <w:jc w:val="both"/>
        <w:rPr>
          <w:rFonts w:ascii="Times New Roman" w:hAnsi="Times New Roman" w:cs="Times New Roman"/>
          <w:b/>
          <w:bCs/>
          <w:sz w:val="24"/>
          <w:szCs w:val="24"/>
        </w:rPr>
      </w:pPr>
      <w:bookmarkStart w:id="36" w:name="_Toc232552261"/>
      <w:r>
        <w:rPr>
          <w:rFonts w:ascii="Times New Roman" w:hAnsi="Times New Roman" w:cs="Times New Roman"/>
          <w:b/>
          <w:bCs/>
          <w:sz w:val="24"/>
          <w:szCs w:val="24"/>
        </w:rPr>
        <w:t xml:space="preserve">ii. </w:t>
      </w:r>
      <w:r>
        <w:rPr>
          <w:rFonts w:ascii="Times New Roman" w:hAnsi="Times New Roman" w:cs="Times New Roman"/>
          <w:b/>
          <w:bCs/>
          <w:sz w:val="24"/>
          <w:szCs w:val="24"/>
        </w:rPr>
        <w:tab/>
      </w:r>
      <w:r>
        <w:rPr>
          <w:rFonts w:ascii="Times New Roman" w:hAnsi="Times New Roman" w:cs="Times New Roman"/>
          <w:b/>
          <w:bCs/>
          <w:sz w:val="24"/>
          <w:szCs w:val="24"/>
        </w:rPr>
        <w:t>Governor’s Consent and Alienation of Land</w:t>
      </w:r>
      <w:bookmarkEnd w:id="36"/>
    </w:p>
    <w:p w14:paraId="5B2E1099">
      <w:pPr>
        <w:spacing w:line="480" w:lineRule="auto"/>
        <w:jc w:val="both"/>
        <w:rPr>
          <w:rFonts w:ascii="Times New Roman" w:hAnsi="Times New Roman" w:cs="Times New Roman"/>
          <w:sz w:val="24"/>
          <w:szCs w:val="24"/>
        </w:rPr>
      </w:pPr>
      <w:r>
        <w:rPr>
          <w:rFonts w:ascii="Times New Roman" w:hAnsi="Times New Roman" w:cs="Times New Roman"/>
          <w:sz w:val="24"/>
          <w:szCs w:val="24"/>
        </w:rPr>
        <w:t>Amadi and Agwor</w:t>
      </w:r>
      <w:r>
        <w:rPr>
          <w:rStyle w:val="22"/>
          <w:rFonts w:ascii="Times New Roman" w:hAnsi="Times New Roman" w:eastAsia="Times New Roman" w:cs="Times New Roman"/>
          <w:sz w:val="24"/>
          <w:szCs w:val="24"/>
        </w:rPr>
        <w:footnoteReference w:id="13"/>
      </w:r>
      <w:r>
        <w:rPr>
          <w:rFonts w:ascii="Times New Roman" w:hAnsi="Times New Roman" w:cs="Times New Roman"/>
          <w:sz w:val="24"/>
          <w:szCs w:val="24"/>
        </w:rPr>
        <w:t xml:space="preserve"> examined the scope of the requirement for consent and the legal problems which arise from transfers made without approval. They found that consent remains essential in deals which involve statutory rights of occupancy and that uncertainty persists in regards the stage at which consent must be obtained. It also found that strictly applying consent may invalidate transactions and impede commercial dealings. A limitation of this work is that it focuses mainly on legal validity and it pays inadequate attention to administrative performance. Even a clear rule on consent would remain problematic where applications are not determined within a fixed period.</w:t>
      </w:r>
    </w:p>
    <w:p w14:paraId="113FAA3B">
      <w:pPr>
        <w:spacing w:line="480" w:lineRule="auto"/>
        <w:jc w:val="both"/>
        <w:rPr>
          <w:rFonts w:ascii="Times New Roman" w:hAnsi="Times New Roman" w:cs="Times New Roman"/>
          <w:sz w:val="24"/>
          <w:szCs w:val="24"/>
        </w:rPr>
      </w:pPr>
      <w:r>
        <w:rPr>
          <w:rFonts w:ascii="Times New Roman" w:hAnsi="Times New Roman" w:cs="Times New Roman"/>
          <w:sz w:val="24"/>
          <w:szCs w:val="24"/>
        </w:rPr>
        <w:t>Agwor and Amadi-Harry</w:t>
      </w:r>
      <w:r>
        <w:rPr>
          <w:rStyle w:val="22"/>
          <w:rFonts w:ascii="Times New Roman" w:hAnsi="Times New Roman" w:eastAsia="Times New Roman" w:cs="Times New Roman"/>
          <w:sz w:val="24"/>
          <w:szCs w:val="24"/>
        </w:rPr>
        <w:footnoteReference w:id="14"/>
      </w:r>
      <w:r>
        <w:rPr>
          <w:rFonts w:ascii="Times New Roman" w:hAnsi="Times New Roman" w:cs="Times New Roman"/>
          <w:sz w:val="24"/>
          <w:szCs w:val="24"/>
        </w:rPr>
        <w:t xml:space="preserve"> reappraised the requirement for consent. It focuses on who bears the obligation to obtain consent, when it should be obtained and the consequences of non-compliance. They found that the procedure is time-consuming and bureaucratic and that transactions conducted without consent may produce disputes, loss in investment and legal penalties.  This was is relevant. However, it focuses on streamlining implementation. It does not confront the more fundamental question of whether gubernatorial approval should remain necessary for ordinary assignments and mortgages. The mere acceleration of an unnecessary approval process would not eliminate excessive executive involvement. </w:t>
      </w:r>
    </w:p>
    <w:p w14:paraId="52725B72">
      <w:pPr>
        <w:spacing w:line="480" w:lineRule="auto"/>
        <w:jc w:val="both"/>
        <w:rPr>
          <w:rFonts w:ascii="Times New Roman" w:hAnsi="Times New Roman" w:cs="Times New Roman"/>
          <w:sz w:val="24"/>
          <w:szCs w:val="24"/>
        </w:rPr>
      </w:pPr>
      <w:r>
        <w:rPr>
          <w:rFonts w:ascii="Times New Roman" w:hAnsi="Times New Roman" w:cs="Times New Roman"/>
          <w:sz w:val="24"/>
          <w:szCs w:val="24"/>
        </w:rPr>
        <w:t>Onah</w:t>
      </w:r>
      <w:r>
        <w:rPr>
          <w:rStyle w:val="22"/>
          <w:rFonts w:ascii="Times New Roman" w:hAnsi="Times New Roman" w:eastAsia="Times New Roman" w:cs="Times New Roman"/>
          <w:sz w:val="24"/>
          <w:szCs w:val="24"/>
        </w:rPr>
        <w:footnoteReference w:id="15"/>
      </w:r>
      <w:r>
        <w:rPr>
          <w:rFonts w:ascii="Times New Roman" w:hAnsi="Times New Roman" w:cs="Times New Roman"/>
          <w:sz w:val="24"/>
          <w:szCs w:val="24"/>
        </w:rPr>
        <w:t xml:space="preserve"> defended the consent requirement. They examined its historical origin and the Governor’s supposed position as trustee. They reasoned that consent enables government to supervise land dealings and prevent uncontrolled transfers. It also ensures that land is administered for public benefit. Consequently, the study found that the requirement is not objectionable. However, its administration may require improvement. This work provides a counter position to scholarship which advocates abolition. A limitation of this work is that it assumes that the statutory trusteeship justifies executive control. Furthermore, a trustee should facilitate, not obstruct the beneficial use of property. </w:t>
      </w:r>
    </w:p>
    <w:p w14:paraId="082AFF3B">
      <w:pPr>
        <w:spacing w:line="480" w:lineRule="auto"/>
        <w:jc w:val="both"/>
        <w:rPr>
          <w:rFonts w:ascii="Times New Roman" w:hAnsi="Times New Roman" w:cs="Times New Roman"/>
          <w:b/>
          <w:bCs/>
          <w:sz w:val="24"/>
          <w:szCs w:val="24"/>
        </w:rPr>
      </w:pPr>
      <w:bookmarkStart w:id="37" w:name="_Toc232552262"/>
      <w:r>
        <w:rPr>
          <w:rFonts w:ascii="Times New Roman" w:hAnsi="Times New Roman" w:cs="Times New Roman"/>
          <w:b/>
          <w:bCs/>
          <w:sz w:val="24"/>
          <w:szCs w:val="24"/>
        </w:rPr>
        <w:t>iii.</w:t>
      </w:r>
      <w:r>
        <w:rPr>
          <w:rFonts w:ascii="Times New Roman" w:hAnsi="Times New Roman" w:cs="Times New Roman"/>
          <w:b/>
          <w:bCs/>
          <w:sz w:val="24"/>
          <w:szCs w:val="24"/>
        </w:rPr>
        <w:tab/>
      </w:r>
      <w:r>
        <w:rPr>
          <w:rFonts w:ascii="Times New Roman" w:hAnsi="Times New Roman" w:cs="Times New Roman"/>
          <w:b/>
          <w:bCs/>
          <w:sz w:val="24"/>
          <w:szCs w:val="24"/>
        </w:rPr>
        <w:t>Revocation and Compulsory Acquisition</w:t>
      </w:r>
      <w:bookmarkEnd w:id="37"/>
    </w:p>
    <w:p w14:paraId="748E339A">
      <w:pPr>
        <w:spacing w:line="480" w:lineRule="auto"/>
        <w:jc w:val="both"/>
        <w:rPr>
          <w:rFonts w:ascii="Times New Roman" w:hAnsi="Times New Roman" w:cs="Times New Roman"/>
          <w:sz w:val="24"/>
          <w:szCs w:val="24"/>
        </w:rPr>
      </w:pPr>
      <w:r>
        <w:rPr>
          <w:rFonts w:ascii="Times New Roman" w:hAnsi="Times New Roman" w:cs="Times New Roman"/>
          <w:sz w:val="24"/>
          <w:szCs w:val="24"/>
        </w:rPr>
        <w:t>Emudainohwo</w:t>
      </w:r>
      <w:r>
        <w:rPr>
          <w:rStyle w:val="22"/>
          <w:rFonts w:ascii="Times New Roman" w:hAnsi="Times New Roman" w:eastAsia="Times New Roman" w:cs="Times New Roman"/>
          <w:sz w:val="24"/>
          <w:szCs w:val="24"/>
        </w:rPr>
        <w:footnoteReference w:id="16"/>
      </w:r>
      <w:r>
        <w:rPr>
          <w:rFonts w:ascii="Times New Roman" w:hAnsi="Times New Roman" w:cs="Times New Roman"/>
          <w:sz w:val="24"/>
          <w:szCs w:val="24"/>
        </w:rPr>
        <w:t xml:space="preserve"> evaluated the procedure for revoking rights of occupancy and determine whether governments comply with statutory requirements. They found that revocations are undermined by defective notices. Most times they government does not establish overriding public interest as well as comply with prescribed procedures. This work focuses on legality in procedure. However, compliance with the existing procedure does not necessarily produce substantive justice. Section 28 itself grants broad discretion and does not comprehensively require prior consultation, consideration of alternatives or return of the land where the declared public purpose is abandoned. The present research therefore evaluates both governmental non-compliance and defects inherent in the statutory procedure.</w:t>
      </w:r>
    </w:p>
    <w:p w14:paraId="0E5E8B7E">
      <w:pPr>
        <w:spacing w:line="480" w:lineRule="auto"/>
        <w:jc w:val="both"/>
        <w:rPr>
          <w:rFonts w:ascii="Times New Roman" w:hAnsi="Times New Roman" w:cs="Times New Roman"/>
          <w:sz w:val="24"/>
          <w:szCs w:val="24"/>
        </w:rPr>
      </w:pPr>
      <w:r>
        <w:rPr>
          <w:rFonts w:ascii="Times New Roman" w:hAnsi="Times New Roman" w:cs="Times New Roman"/>
          <w:sz w:val="24"/>
          <w:szCs w:val="24"/>
        </w:rPr>
        <w:t>Onah</w:t>
      </w:r>
      <w:r>
        <w:rPr>
          <w:rStyle w:val="22"/>
          <w:rFonts w:ascii="Times New Roman" w:hAnsi="Times New Roman" w:eastAsia="Times New Roman" w:cs="Times New Roman"/>
          <w:sz w:val="24"/>
          <w:szCs w:val="24"/>
        </w:rPr>
        <w:footnoteReference w:id="17"/>
      </w:r>
      <w:r>
        <w:rPr>
          <w:rFonts w:ascii="Times New Roman" w:hAnsi="Times New Roman" w:cs="Times New Roman"/>
          <w:sz w:val="24"/>
          <w:szCs w:val="24"/>
        </w:rPr>
        <w:t xml:space="preserve"> examined the statutory and constitutional rules which govern acquisition. They examined the Constitution, the LUA, and judicial rulings. It was determined that section 29 addresses unutilised enhancements rather than the worth of the land or the occupancy rights themselves. This work identifies the central defect in the compensation. However, a limitation is that it focuses on compensation for market-value It does not examine additional losses such as relocation costs, business interruption, severance and destruction of community livelihoods. Even if the land's market value is compensated, the payment might still be insufficient. </w:t>
      </w:r>
    </w:p>
    <w:p w14:paraId="5C1A0DA7">
      <w:pPr>
        <w:spacing w:line="480" w:lineRule="auto"/>
        <w:jc w:val="both"/>
        <w:rPr>
          <w:rFonts w:ascii="Times New Roman" w:hAnsi="Times New Roman" w:cs="Times New Roman"/>
          <w:sz w:val="24"/>
          <w:szCs w:val="24"/>
        </w:rPr>
      </w:pPr>
      <w:r>
        <w:rPr>
          <w:rFonts w:ascii="Times New Roman" w:hAnsi="Times New Roman" w:cs="Times New Roman"/>
          <w:sz w:val="24"/>
          <w:szCs w:val="24"/>
        </w:rPr>
        <w:t>On the other hand, Ubanyionwu</w:t>
      </w:r>
      <w:r>
        <w:rPr>
          <w:rStyle w:val="22"/>
          <w:rFonts w:ascii="Times New Roman" w:hAnsi="Times New Roman" w:cs="Times New Roman"/>
          <w:sz w:val="24"/>
          <w:szCs w:val="24"/>
        </w:rPr>
        <w:footnoteReference w:id="18"/>
      </w:r>
      <w:r>
        <w:rPr>
          <w:rFonts w:ascii="Times New Roman" w:hAnsi="Times New Roman" w:cs="Times New Roman"/>
          <w:sz w:val="24"/>
          <w:szCs w:val="24"/>
        </w:rPr>
        <w:t xml:space="preserve"> analysed the meaning and limits of public purpose under the Act. The study employed doctrinal examination of the acquisition provisions and relevant cases. It found that compulsory acquisition must be connected to the public purpose and that government cannot acquire land under the guise of public interest and then transfer it for an unrelated private benefit. This work is distinguishing public acquisition which is genuine from land redistribution executive. </w:t>
      </w:r>
    </w:p>
    <w:p w14:paraId="6E8AB84D">
      <w:pPr>
        <w:spacing w:line="480" w:lineRule="auto"/>
        <w:jc w:val="both"/>
        <w:rPr>
          <w:rFonts w:ascii="Times New Roman" w:hAnsi="Times New Roman" w:cs="Times New Roman"/>
          <w:b/>
          <w:bCs/>
          <w:sz w:val="24"/>
          <w:szCs w:val="24"/>
        </w:rPr>
      </w:pPr>
      <w:bookmarkStart w:id="38" w:name="_Toc232552263"/>
      <w:r>
        <w:rPr>
          <w:rFonts w:ascii="Times New Roman" w:hAnsi="Times New Roman" w:cs="Times New Roman"/>
          <w:b/>
          <w:bCs/>
          <w:sz w:val="24"/>
          <w:szCs w:val="24"/>
        </w:rPr>
        <w:t>iv.</w:t>
      </w:r>
      <w:r>
        <w:rPr>
          <w:rFonts w:ascii="Times New Roman" w:hAnsi="Times New Roman" w:cs="Times New Roman"/>
          <w:b/>
          <w:bCs/>
          <w:sz w:val="24"/>
          <w:szCs w:val="24"/>
        </w:rPr>
        <w:tab/>
      </w:r>
      <w:r>
        <w:rPr>
          <w:rFonts w:ascii="Times New Roman" w:hAnsi="Times New Roman" w:cs="Times New Roman"/>
          <w:b/>
          <w:bCs/>
          <w:sz w:val="24"/>
          <w:szCs w:val="24"/>
        </w:rPr>
        <w:t>Institutional Performance and Development</w:t>
      </w:r>
      <w:bookmarkEnd w:id="38"/>
    </w:p>
    <w:p w14:paraId="5ACD4CBF">
      <w:pPr>
        <w:spacing w:line="480" w:lineRule="auto"/>
        <w:jc w:val="both"/>
        <w:rPr>
          <w:rFonts w:ascii="Times New Roman" w:hAnsi="Times New Roman" w:cs="Times New Roman"/>
          <w:sz w:val="24"/>
          <w:szCs w:val="24"/>
        </w:rPr>
      </w:pPr>
      <w:r>
        <w:rPr>
          <w:rFonts w:ascii="Times New Roman" w:hAnsi="Times New Roman" w:cs="Times New Roman"/>
          <w:sz w:val="24"/>
          <w:szCs w:val="24"/>
        </w:rPr>
        <w:t>Salawu</w:t>
      </w:r>
      <w:r>
        <w:rPr>
          <w:rStyle w:val="22"/>
          <w:rFonts w:ascii="Times New Roman" w:hAnsi="Times New Roman" w:eastAsia="Times New Roman" w:cs="Times New Roman"/>
          <w:sz w:val="24"/>
          <w:szCs w:val="24"/>
        </w:rPr>
        <w:footnoteReference w:id="19"/>
      </w:r>
      <w:r>
        <w:rPr>
          <w:rFonts w:ascii="Times New Roman" w:hAnsi="Times New Roman" w:cs="Times New Roman"/>
          <w:sz w:val="24"/>
          <w:szCs w:val="24"/>
        </w:rPr>
        <w:t xml:space="preserve"> examined the constraints which affect access to and control of rural land. They found that land resources have not been utilised optimally and that there is insecurity of tenure and delays in obtaining consent. More so, there inconsistency between customary tenure and the Act. This undermines agricultural development, food security as well as rural peace. This work is valuable because most of the literature concentrates on urban conveyancing. However, a limitation is that the work focuses on sustainable rural development. This makes it difficult to isolate which problems arise from the Act and which result from failure in governance and agriculture.</w:t>
      </w:r>
    </w:p>
    <w:p w14:paraId="11060F16">
      <w:pPr>
        <w:spacing w:line="480" w:lineRule="auto"/>
        <w:jc w:val="both"/>
        <w:rPr>
          <w:rFonts w:ascii="Times New Roman" w:hAnsi="Times New Roman" w:cs="Times New Roman"/>
          <w:sz w:val="24"/>
          <w:szCs w:val="24"/>
        </w:rPr>
      </w:pPr>
      <w:r>
        <w:rPr>
          <w:rFonts w:ascii="Times New Roman" w:hAnsi="Times New Roman" w:cs="Times New Roman"/>
          <w:sz w:val="24"/>
          <w:szCs w:val="24"/>
        </w:rPr>
        <w:t>John and Bello</w:t>
      </w:r>
      <w:r>
        <w:rPr>
          <w:rStyle w:val="22"/>
          <w:rFonts w:ascii="Times New Roman" w:hAnsi="Times New Roman" w:eastAsia="Times New Roman" w:cs="Times New Roman"/>
          <w:sz w:val="24"/>
          <w:szCs w:val="24"/>
        </w:rPr>
        <w:footnoteReference w:id="20"/>
      </w:r>
      <w:r>
        <w:rPr>
          <w:rFonts w:ascii="Times New Roman" w:hAnsi="Times New Roman" w:cs="Times New Roman"/>
          <w:sz w:val="24"/>
          <w:szCs w:val="24"/>
        </w:rPr>
        <w:t xml:space="preserve"> evaluated the effectiveness of land policies and institutions in preventing the abuse in the use of land. They found that there is governance is weak and there is no accountability. More so, the technological incapacity impairs the sustainable management of land. They advocated that there should multi-stakeholder participation and technology-supported monitoring. This work has a notable limitation. The abuse in the use of land is broader than the operation of the LUA. It includes planning and environmental violations. The study also does not analyse the statutory limits of the Land Use and Allocation Committees or Local Governments comprehensively.</w:t>
      </w:r>
    </w:p>
    <w:p w14:paraId="307D6E59">
      <w:pPr>
        <w:spacing w:line="480" w:lineRule="auto"/>
        <w:jc w:val="both"/>
        <w:rPr>
          <w:rFonts w:ascii="Times New Roman" w:hAnsi="Times New Roman" w:cs="Times New Roman"/>
          <w:sz w:val="24"/>
          <w:szCs w:val="24"/>
        </w:rPr>
      </w:pPr>
      <w:r>
        <w:rPr>
          <w:rFonts w:ascii="Times New Roman" w:hAnsi="Times New Roman" w:cs="Times New Roman"/>
          <w:sz w:val="24"/>
          <w:szCs w:val="24"/>
        </w:rPr>
        <w:t>Onyia and Ezeodili</w:t>
      </w:r>
      <w:r>
        <w:rPr>
          <w:rStyle w:val="22"/>
          <w:rFonts w:ascii="Times New Roman" w:hAnsi="Times New Roman" w:eastAsia="Times New Roman" w:cs="Times New Roman"/>
          <w:sz w:val="24"/>
          <w:szCs w:val="24"/>
        </w:rPr>
        <w:footnoteReference w:id="21"/>
      </w:r>
      <w:r>
        <w:rPr>
          <w:rFonts w:ascii="Times New Roman" w:hAnsi="Times New Roman" w:cs="Times New Roman"/>
          <w:sz w:val="24"/>
          <w:szCs w:val="24"/>
        </w:rPr>
        <w:t xml:space="preserve"> examined the relationship between the Act and socio-economic development within Enugu State. They found that there have been administrative bottlenecks and the implementation of the act has been ineffective. Hence, this affect the use of land in development. They recommended that there should be an efficient and responsive system of land administration. This study is highly relevant because it provides insight into the operation of the Act within the geographical region relevant to this research institution. A limitation is that its conclusion is based on Enugu state and it cannot represent practices in all states in Nigeria. </w:t>
      </w:r>
    </w:p>
    <w:p w14:paraId="56FF1E61">
      <w:pPr>
        <w:spacing w:line="480" w:lineRule="auto"/>
        <w:jc w:val="both"/>
        <w:rPr>
          <w:rFonts w:ascii="Times New Roman" w:hAnsi="Times New Roman" w:cs="Times New Roman"/>
          <w:b/>
          <w:bCs/>
          <w:sz w:val="24"/>
          <w:szCs w:val="24"/>
        </w:rPr>
      </w:pPr>
      <w:bookmarkStart w:id="39" w:name="_Toc232552264"/>
      <w:r>
        <w:rPr>
          <w:rFonts w:ascii="Times New Roman" w:hAnsi="Times New Roman" w:cs="Times New Roman"/>
          <w:b/>
          <w:bCs/>
          <w:sz w:val="24"/>
          <w:szCs w:val="24"/>
        </w:rPr>
        <w:t>v.</w:t>
      </w:r>
      <w:r>
        <w:rPr>
          <w:rFonts w:ascii="Times New Roman" w:hAnsi="Times New Roman" w:cs="Times New Roman"/>
          <w:b/>
          <w:bCs/>
          <w:sz w:val="24"/>
          <w:szCs w:val="24"/>
        </w:rPr>
        <w:tab/>
      </w:r>
      <w:r>
        <w:rPr>
          <w:rFonts w:ascii="Times New Roman" w:hAnsi="Times New Roman" w:cs="Times New Roman"/>
          <w:b/>
          <w:bCs/>
          <w:sz w:val="24"/>
          <w:szCs w:val="24"/>
        </w:rPr>
        <w:t>Gap in Knowledge</w:t>
      </w:r>
      <w:bookmarkEnd w:id="39"/>
    </w:p>
    <w:p w14:paraId="143D451C">
      <w:pPr>
        <w:spacing w:line="480" w:lineRule="auto"/>
        <w:jc w:val="both"/>
        <w:rPr>
          <w:rFonts w:ascii="Times New Roman" w:hAnsi="Times New Roman" w:cs="Times New Roman"/>
          <w:sz w:val="24"/>
          <w:szCs w:val="24"/>
        </w:rPr>
      </w:pPr>
      <w:r>
        <w:rPr>
          <w:rFonts w:ascii="Times New Roman" w:hAnsi="Times New Roman" w:cs="Times New Roman"/>
          <w:sz w:val="24"/>
          <w:szCs w:val="24"/>
        </w:rPr>
        <w:t>This review demonstrates that there is an extensive scholarship on the LUA. Nevertheless, there are gaps in Knowledge. Firstly, much of the literature examines individual problems in isolation. The Studies on Governor’s consent concentrate on the validity of transactions and they do not link consent to registration of title, mortgage finance and accountability. Secondly, several studies focus on the wording of the Act but do not examine the institutions responsible for its implementation. Thirdly, existing scholarship often recommends amendment in general terms. They do not address the constitutional obstacle created by section 315(5)(d) sufficiently. This gap provides the justification for the present study.</w:t>
      </w:r>
    </w:p>
    <w:p w14:paraId="0D90FCC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14:paraId="0E3EC560">
      <w:pPr>
        <w:pStyle w:val="2"/>
      </w:pPr>
      <w:bookmarkStart w:id="40" w:name="_Toc232552265"/>
      <w:bookmarkStart w:id="41" w:name="_Toc232552923"/>
      <w:r>
        <w:t>CHAPTER TWO</w:t>
      </w:r>
      <w:bookmarkEnd w:id="40"/>
      <w:bookmarkEnd w:id="41"/>
    </w:p>
    <w:p w14:paraId="1926AE3F">
      <w:pPr>
        <w:pStyle w:val="2"/>
      </w:pPr>
      <w:bookmarkStart w:id="42" w:name="_Toc232552266"/>
      <w:bookmarkStart w:id="43" w:name="_Toc232552924"/>
      <w:r>
        <w:t>CONCEPTUAL AND THEORETICAL FRAMEWORK</w:t>
      </w:r>
      <w:bookmarkEnd w:id="42"/>
      <w:bookmarkEnd w:id="43"/>
    </w:p>
    <w:p w14:paraId="7BF76D77">
      <w:pPr>
        <w:pStyle w:val="3"/>
      </w:pPr>
      <w:bookmarkStart w:id="44" w:name="_Toc232552267"/>
      <w:bookmarkStart w:id="45" w:name="_Toc232552925"/>
      <w:r>
        <w:t xml:space="preserve">2.1 </w:t>
      </w:r>
      <w:r>
        <w:tab/>
      </w:r>
      <w:r>
        <w:t>Conceptual Framework</w:t>
      </w:r>
      <w:bookmarkEnd w:id="44"/>
      <w:bookmarkEnd w:id="45"/>
    </w:p>
    <w:p w14:paraId="5E2F727A">
      <w:pPr>
        <w:pStyle w:val="4"/>
      </w:pPr>
      <w:bookmarkStart w:id="46" w:name="_Toc232552268"/>
      <w:bookmarkStart w:id="47" w:name="_Toc232552926"/>
      <w:r>
        <w:t xml:space="preserve">2.1.1 </w:t>
      </w:r>
      <w:r>
        <w:tab/>
      </w:r>
      <w:r>
        <w:t>Meaning of Land</w:t>
      </w:r>
      <w:bookmarkEnd w:id="46"/>
      <w:bookmarkEnd w:id="47"/>
    </w:p>
    <w:p w14:paraId="5D47A316">
      <w:pPr>
        <w:pStyle w:val="10"/>
        <w:spacing w:line="480" w:lineRule="auto"/>
        <w:jc w:val="both"/>
        <w:rPr>
          <w:lang w:val="en-GB"/>
        </w:rPr>
      </w:pPr>
      <w:r>
        <w:rPr>
          <w:lang w:val="en-GB"/>
        </w:rPr>
        <w:t>Land is a permanent and immovable natural resource that provides the foundation for residential, agricultural, commercial, industrial, environmental and public activities.</w:t>
      </w:r>
      <w:r>
        <w:rPr>
          <w:rStyle w:val="22"/>
          <w:lang w:val="en-GB"/>
        </w:rPr>
        <w:footnoteReference w:id="22"/>
      </w:r>
      <w:r>
        <w:rPr>
          <w:lang w:val="en-GB"/>
        </w:rPr>
        <w:t xml:space="preserve"> In ordinary language, land refers to the solid surface of the earth. However, its legal meaning is broader.  Under the received common law, the traditional maxim </w:t>
      </w:r>
      <w:r>
        <w:rPr>
          <w:rStyle w:val="21"/>
          <w:lang w:val="en-GB"/>
        </w:rPr>
        <w:t>cuiusest solum, eiusestusqueadcoelum et ad inferos</w:t>
      </w:r>
      <w:r>
        <w:rPr>
          <w:rStyle w:val="22"/>
          <w:i/>
          <w:iCs/>
          <w:lang w:val="en-GB"/>
        </w:rPr>
        <w:footnoteReference w:id="23"/>
      </w:r>
      <w:r>
        <w:rPr>
          <w:lang w:val="en-GB"/>
        </w:rPr>
        <w:t xml:space="preserve"> indicates that the person who possesses the land has rights extending to the skies above and the depths below. The maxim does not operate literally in modern law because rights above and beneath the surface may be restricted by aviation, mineral, petroleum, planning and environmental legislation. Nevertheless, it illustrates that land may include the surface, the subsoil, the airspace necessary for ordinary enjoyment, buildings, fixtures and other interests attached to the soil.</w:t>
      </w:r>
    </w:p>
    <w:p w14:paraId="20486AFF">
      <w:pPr>
        <w:pStyle w:val="10"/>
        <w:spacing w:line="480" w:lineRule="auto"/>
        <w:jc w:val="both"/>
        <w:rPr>
          <w:lang w:val="en-GB"/>
        </w:rPr>
      </w:pPr>
      <w:r>
        <w:rPr>
          <w:lang w:val="en-GB"/>
        </w:rPr>
        <w:t>The LUA does not provide an exhaustive definition of land. Section 51 defines “developed land” as land that features a tangible enhancement such as a roadway, development amenities, water supply, electricity, drainage systems, buildings, structures, or other upgrades that could increase the land's worth for industrial, agricultural, or residential uses. It further describes “unexhausted improvements” as any enhancements of value linked to land that arise from the investment of capital or labour by an occupant, leading to an increase in the land's productive ability, usefulness, or overall appeal.</w:t>
      </w:r>
      <w:r>
        <w:rPr>
          <w:rStyle w:val="22"/>
          <w:lang w:val="en-GB"/>
        </w:rPr>
        <w:footnoteReference w:id="24"/>
      </w:r>
      <w:r>
        <w:rPr>
          <w:lang w:val="en-GB"/>
        </w:rPr>
        <w:t xml:space="preserve">  Land has a significant meaning under the customary law. It may be held by an individual, family or community, and the nature of the interest depends upon the customary law which govern the locality. Land embody ancestral identity and it provide the basis for the survival of present and future members of a family or community.</w:t>
      </w:r>
      <w:r>
        <w:rPr>
          <w:rStyle w:val="22"/>
          <w:lang w:val="en-GB"/>
        </w:rPr>
        <w:footnoteReference w:id="25"/>
      </w:r>
      <w:r>
        <w:rPr>
          <w:lang w:val="en-GB"/>
        </w:rPr>
        <w:t xml:space="preserve"> The idea that customary land is ownerless until it is granted by government is therefore incorrect legally.</w:t>
      </w:r>
    </w:p>
    <w:p w14:paraId="153D709C">
      <w:pPr>
        <w:pStyle w:val="10"/>
        <w:spacing w:line="480" w:lineRule="auto"/>
        <w:jc w:val="both"/>
        <w:rPr>
          <w:lang w:val="en-GB"/>
        </w:rPr>
      </w:pPr>
      <w:r>
        <w:rPr>
          <w:lang w:val="en-GB"/>
        </w:rPr>
        <w:t xml:space="preserve">In </w:t>
      </w:r>
      <w:r>
        <w:rPr>
          <w:rStyle w:val="21"/>
          <w:lang w:val="en-GB"/>
        </w:rPr>
        <w:t>Amodu Tijani v Secretary, Southern Nigeria</w:t>
      </w:r>
      <w:r>
        <w:rPr>
          <w:lang w:val="en-GB"/>
        </w:rPr>
        <w:t>,</w:t>
      </w:r>
      <w:r>
        <w:rPr>
          <w:rStyle w:val="22"/>
          <w:lang w:val="en-GB"/>
        </w:rPr>
        <w:footnoteReference w:id="26"/>
      </w:r>
      <w:r>
        <w:rPr>
          <w:lang w:val="en-GB"/>
        </w:rPr>
        <w:t xml:space="preserve"> the appellant claimed compensation on behalf of the Oluwa chiefly family following the mandatory acquisition of land at Apapa. The colonial authorities held that the family’s customary interest is a limited right of occupation. The Privy Council rejected that stance and they recognised that customary tenure could amount to a substantial communal proprietary interest. However, its incidents differed from an English fee simple.  Therefore, the LUA must be interpreted against the historical reality that land in Nigeria was already subject to individual, family and communal interests before 1978. The vesting in Section 1 does not mean that no legally recognisable interest existed before a formal government grant. </w:t>
      </w:r>
    </w:p>
    <w:p w14:paraId="7115DE72">
      <w:pPr>
        <w:pStyle w:val="4"/>
      </w:pPr>
      <w:bookmarkStart w:id="48" w:name="_Toc232552269"/>
      <w:bookmarkStart w:id="49" w:name="_Toc232552927"/>
      <w:r>
        <w:t xml:space="preserve">2.1.2 </w:t>
      </w:r>
      <w:r>
        <w:tab/>
      </w:r>
      <w:r>
        <w:t>Meaning of Land Tenure</w:t>
      </w:r>
      <w:bookmarkEnd w:id="48"/>
      <w:bookmarkEnd w:id="49"/>
    </w:p>
    <w:p w14:paraId="6F03AA15">
      <w:pPr>
        <w:pStyle w:val="10"/>
        <w:spacing w:line="480" w:lineRule="auto"/>
        <w:jc w:val="both"/>
        <w:rPr>
          <w:lang w:val="en-GB"/>
        </w:rPr>
      </w:pPr>
      <w:r>
        <w:rPr>
          <w:lang w:val="en-GB"/>
        </w:rPr>
        <w:t>Land tenure refers to the system of legal and social relationships that determines how land is held, used, controlled, transferred and inherited.</w:t>
      </w:r>
      <w:r>
        <w:rPr>
          <w:rStyle w:val="22"/>
          <w:lang w:val="en-GB"/>
        </w:rPr>
        <w:footnoteReference w:id="27"/>
      </w:r>
      <w:r>
        <w:rPr>
          <w:lang w:val="en-GB"/>
        </w:rPr>
        <w:t xml:space="preserve"> It identifies the persons or groups entitled to land, the nature and duration of their interests, the conditions attached to those interests, and the circumstances in which they may be transferred or terminated.</w:t>
      </w:r>
      <w:r>
        <w:rPr>
          <w:rStyle w:val="22"/>
          <w:lang w:val="en-GB"/>
        </w:rPr>
        <w:footnoteReference w:id="28"/>
      </w:r>
      <w:r>
        <w:rPr>
          <w:lang w:val="en-GB"/>
        </w:rPr>
        <w:t xml:space="preserve"> Before the LUA, Nigeria did not operate a single tenure system. In many parts of Southern Nigeria, customary tenure recognised communal and family landholding. The community or family was not a corporate owner in the technical English sense. Rather, the land was administered for the benefit of existing and future members. The head of the family or community exercised managerial authority but they are not entitled to treat the land as personal property. Individual rights could arise through an original grant, partition, inheritance, long possession or allocation by the family or community. Customary tenants could also receive land and this is subject to obligations such as tribute and acknowledgment of the superior title.</w:t>
      </w:r>
      <w:r>
        <w:rPr>
          <w:rStyle w:val="22"/>
          <w:lang w:val="en-GB"/>
        </w:rPr>
        <w:footnoteReference w:id="29"/>
      </w:r>
      <w:r>
        <w:rPr>
          <w:lang w:val="en-GB"/>
        </w:rPr>
        <w:t xml:space="preserve"> In Northern Nigeria, the Land Tenure vested land in the Governor for the use and common benefit of the indigenous population and recognised rights of occupancy.</w:t>
      </w:r>
      <w:r>
        <w:rPr>
          <w:rStyle w:val="22"/>
          <w:lang w:val="en-GB"/>
        </w:rPr>
        <w:footnoteReference w:id="30"/>
      </w:r>
      <w:r>
        <w:rPr>
          <w:lang w:val="en-GB"/>
        </w:rPr>
        <w:t xml:space="preserve"> The LUA extended this administrative structure throughout the Federation.</w:t>
      </w:r>
    </w:p>
    <w:p w14:paraId="7AA0CC67">
      <w:pPr>
        <w:pStyle w:val="10"/>
        <w:spacing w:line="480" w:lineRule="auto"/>
        <w:jc w:val="both"/>
      </w:pPr>
      <w:r>
        <w:rPr>
          <w:lang w:val="en-GB"/>
        </w:rPr>
        <w:t xml:space="preserve">Section 1 of the Act assigns land within each state, with specified exceptions, to the Governor, who will hold it in trust and manage it for the collective benefit of Nigerians. </w:t>
      </w:r>
      <w:r>
        <w:t>Section 2 vests the control and management of urban land in the Governor, while non-urban land is placed under the authority of the Local Government in whose area it is located.</w:t>
      </w:r>
      <w:r>
        <w:rPr>
          <w:lang w:val="en-GB"/>
        </w:rPr>
        <w:t xml:space="preserve"> Section 3 authorises the Governor to designate areas as urban land. In that sense, this is a dual administrative structure in which statutory rights of occupancy are associated with the Governor and customary rights of occupancy with Local Governments. </w:t>
      </w:r>
    </w:p>
    <w:p w14:paraId="05CE9776">
      <w:pPr>
        <w:pStyle w:val="4"/>
      </w:pPr>
      <w:bookmarkStart w:id="50" w:name="_Toc232552928"/>
      <w:bookmarkStart w:id="51" w:name="_Toc232552270"/>
      <w:r>
        <w:t xml:space="preserve">2.1.3 </w:t>
      </w:r>
      <w:r>
        <w:tab/>
      </w:r>
      <w:r>
        <w:t>Right of Occupancy</w:t>
      </w:r>
      <w:bookmarkEnd w:id="50"/>
      <w:bookmarkEnd w:id="51"/>
    </w:p>
    <w:p w14:paraId="61955013">
      <w:pPr>
        <w:pStyle w:val="10"/>
        <w:spacing w:line="480" w:lineRule="auto"/>
        <w:jc w:val="both"/>
        <w:rPr>
          <w:lang w:val="en-GB"/>
        </w:rPr>
      </w:pPr>
      <w:r>
        <w:rPr>
          <w:lang w:val="en-GB"/>
        </w:rPr>
        <w:t>A right of occupancy is the juridical interest through which landholding is recognised and regulated under the LUA.</w:t>
      </w:r>
      <w:r>
        <w:rPr>
          <w:rStyle w:val="22"/>
          <w:lang w:val="en-GB"/>
        </w:rPr>
        <w:footnoteReference w:id="31"/>
      </w:r>
      <w:r>
        <w:rPr>
          <w:lang w:val="en-GB"/>
        </w:rPr>
        <w:t xml:space="preserve"> The interest includes wider proprietary incidents such as possession, development, inheritance, leasing, mortgaging and assignment, subject to statutory conditions. The Act does not define a right of occupancy expressly in terms that settle whether it is ownership, a lease, a licence or a distinct statutory interest. Instead, it identifies the authorities empowered to grant such rights, the conditions that may be imposed, the transactions which requires consent and the circumstances in which the right may be revoked.</w:t>
      </w:r>
      <w:r>
        <w:rPr>
          <w:rStyle w:val="22"/>
          <w:lang w:val="en-GB"/>
        </w:rPr>
        <w:footnoteReference w:id="32"/>
      </w:r>
      <w:r>
        <w:rPr>
          <w:lang w:val="en-GB"/>
        </w:rPr>
        <w:t xml:space="preserve"> A right of occupancy is more substantial than a bare personal licence. It may be inherited and, subject to consent, alienated or mortgaged. The holder may exclude trespassers and seek declaratory and injunctive relief. However, it is not definitive. It is contingent upon rental terms, grant conditions, permitted use, approval, and cancellation for significant public interest.</w:t>
      </w:r>
      <w:r>
        <w:rPr>
          <w:rStyle w:val="22"/>
          <w:lang w:val="en-GB"/>
        </w:rPr>
        <w:footnoteReference w:id="33"/>
      </w:r>
      <w:r>
        <w:rPr>
          <w:lang w:val="en-GB"/>
        </w:rPr>
        <w:t xml:space="preserve"> The Act recognises statutory rights of occupancy, customary rights of occupancy and interests preserved by operation of law as deemed rights of occupancy.</w:t>
      </w:r>
      <w:r>
        <w:rPr>
          <w:rStyle w:val="22"/>
          <w:lang w:val="en-GB"/>
        </w:rPr>
        <w:footnoteReference w:id="34"/>
      </w:r>
    </w:p>
    <w:p w14:paraId="382DCA4F">
      <w:pPr>
        <w:pStyle w:val="5"/>
      </w:pPr>
      <w:r>
        <w:t xml:space="preserve">2.1.3.1 </w:t>
      </w:r>
      <w:r>
        <w:tab/>
      </w:r>
      <w:r>
        <w:t>Statutory Right of Occupancy</w:t>
      </w:r>
    </w:p>
    <w:p w14:paraId="4FB717A2">
      <w:pPr>
        <w:pStyle w:val="10"/>
        <w:spacing w:line="480" w:lineRule="auto"/>
        <w:jc w:val="both"/>
        <w:rPr>
          <w:lang w:val="en-GB"/>
        </w:rPr>
      </w:pPr>
      <w:r>
        <w:rPr>
          <w:lang w:val="en-GB"/>
        </w:rPr>
        <w:t xml:space="preserve">A statutory right of occupancy is a right granted by the Governor. Section 5 empowers the Governor to grant statutory rights of occupancy to any person in respect of land, whether or not situated in an urban area. The Governor may impose conditions and issue a certificate which evidence the grant. Where a statutory right is granted over land, section 5(2) provides that the rights to use and occupation may be extinguished. This power cannot be employed to destroy a superior pre-existing interest through an erroneous or unlawful allocation. The reference to “statutory” does not mean that the interest exists only where a certificate has been issued. A statutory right may arise through an express grant under section 5 or as a deemed grant under section 34. The certificate documents or indicates the right, but it is not always the origin in every instance. In </w:t>
      </w:r>
      <w:r>
        <w:rPr>
          <w:rStyle w:val="21"/>
          <w:lang w:val="en-GB"/>
        </w:rPr>
        <w:t>Adole v Gwar</w:t>
      </w:r>
      <w:r>
        <w:rPr>
          <w:rStyle w:val="21"/>
          <w:i w:val="0"/>
          <w:lang w:val="en-GB"/>
        </w:rPr>
        <w:t>,</w:t>
      </w:r>
      <w:r>
        <w:rPr>
          <w:rStyle w:val="22"/>
          <w:iCs/>
          <w:lang w:val="en-GB"/>
        </w:rPr>
        <w:footnoteReference w:id="35"/>
      </w:r>
      <w:r>
        <w:rPr>
          <w:lang w:val="en-GB"/>
        </w:rPr>
        <w:t xml:space="preserve"> the court held that a subsequent statutory grant is not superior to an existing title. The parties claimed the disputed land through competing customary histories. The appellant relied on a certificate of occupancy granted by government. The Supreme Court held that a certificate issued in respect of land which is subject to the interest of another person could not, without more, extinguish the earlier title. The holder of the certificate had to establish that the authority was entitled to grant the land and that the grantee possessed a better interest.</w:t>
      </w:r>
    </w:p>
    <w:p w14:paraId="3E128103">
      <w:pPr>
        <w:pStyle w:val="5"/>
      </w:pPr>
      <w:r>
        <w:t xml:space="preserve">2.1.3.2 </w:t>
      </w:r>
      <w:r>
        <w:tab/>
      </w:r>
      <w:r>
        <w:t>Customary Right of Occupancy</w:t>
      </w:r>
    </w:p>
    <w:p w14:paraId="66EC1DCA">
      <w:pPr>
        <w:pStyle w:val="10"/>
        <w:spacing w:line="480" w:lineRule="auto"/>
        <w:jc w:val="both"/>
        <w:rPr>
          <w:lang w:val="en-GB"/>
        </w:rPr>
      </w:pPr>
      <w:r>
        <w:rPr>
          <w:lang w:val="en-GB"/>
        </w:rPr>
        <w:t>A customary right of occupancy is the statutory interest and it is granted by a Local Government in respect of non-urban land.</w:t>
      </w:r>
      <w:r>
        <w:rPr>
          <w:rStyle w:val="22"/>
          <w:lang w:val="en-GB"/>
        </w:rPr>
        <w:footnoteReference w:id="36"/>
      </w:r>
      <w:r>
        <w:rPr>
          <w:lang w:val="en-GB"/>
        </w:rPr>
        <w:t xml:space="preserve"> Section 6 empowers a Local Government to grant customary rights of occupancy for agricultural, residential and other purposes and for grazing and purposes ancillary to agriculture. The section limits grants for agricultural purposes to 500 hectares and grants for grazing to 5,000 hectares unless the Governor’s consent is obtained. The use of the word “customary” does not mean that every customary right of occupancy originates exclusively from traditional law. An express customary right under section 6 is a statutory grant made by a Local Government. By contrast, a deemed customary right under section 36 arises from lawful use or occupation existing before the Act. A customary right of occupancy may be held by an individual, family, community or organisation. It may be inherited and transferred subject to the applicable customary law and the consent requirements in section 21. When a Local Government explicitly grants the right, section 21(b) mandates obtaining approval from the relevant Local Government prior to any alienation through assignment, mortgage, transfer of possession, sublease, or other means. In cases where customary law governs the transaction, it may also be necessary to obtain approval from the relevant authority.</w:t>
      </w:r>
    </w:p>
    <w:p w14:paraId="0B3FB616">
      <w:pPr>
        <w:pStyle w:val="5"/>
      </w:pPr>
      <w:r>
        <w:t xml:space="preserve">2.1.3.3 </w:t>
      </w:r>
      <w:r>
        <w:tab/>
      </w:r>
      <w:r>
        <w:t>Deemed Right of Occupancy</w:t>
      </w:r>
    </w:p>
    <w:p w14:paraId="26392C75">
      <w:pPr>
        <w:pStyle w:val="10"/>
        <w:spacing w:line="480" w:lineRule="auto"/>
        <w:jc w:val="both"/>
        <w:rPr>
          <w:lang w:val="en-GB"/>
        </w:rPr>
      </w:pPr>
      <w:r>
        <w:rPr>
          <w:lang w:val="en-GB"/>
        </w:rPr>
        <w:t>A deemed right of occupancy is an interest that the Act treats as if it had been granted formally, even though no new grant was made after the commencement of the Act. It is a transitional device intended to protect interests existing before 29 March 1978.</w:t>
      </w:r>
      <w:r>
        <w:rPr>
          <w:rStyle w:val="22"/>
          <w:lang w:val="en-GB"/>
        </w:rPr>
        <w:footnoteReference w:id="37"/>
      </w:r>
      <w:r>
        <w:rPr>
          <w:lang w:val="en-GB"/>
        </w:rPr>
        <w:t xml:space="preserve"> Section 34 pertains to land located in metropolitan regions. When land was developed and assigned to an individual prior to the start of the Act, that individual retains ownership as though they were granted a statutory right of occupancy by the Governor. The holder is permitted to request a certificate. Nonetheless, the entitlement does not rely on the document. Section 36 pertains to land that is not located in urban areas. A person or community that was utilising or residing on land according to customary law right before the Act can keep using and residing on it as though a customary right of occupancy had been conferred by the Local Government. In </w:t>
      </w:r>
      <w:r>
        <w:rPr>
          <w:rStyle w:val="21"/>
          <w:lang w:val="en-GB"/>
        </w:rPr>
        <w:t>Abioye v Yakubu</w:t>
      </w:r>
      <w:r>
        <w:rPr>
          <w:lang w:val="en-GB"/>
        </w:rPr>
        <w:t>,</w:t>
      </w:r>
      <w:r>
        <w:rPr>
          <w:rStyle w:val="22"/>
          <w:lang w:val="en-GB"/>
        </w:rPr>
        <w:footnoteReference w:id="38"/>
      </w:r>
      <w:r>
        <w:rPr>
          <w:lang w:val="en-GB"/>
        </w:rPr>
        <w:t xml:space="preserve"> the Supreme Court explained that the “holder” under section 36 is the customary owner. On the other hand, an “occupier” may be a customary tenant or another person who occupies the land lawfully. The decision distinguished ownership and subordinate occupation. It rejected the idea that the Act elevated every occupier into an owner or extinguished the customary owner’s reversionary interest.</w:t>
      </w:r>
      <w:r>
        <w:rPr>
          <w:rStyle w:val="22"/>
          <w:lang w:val="en-GB"/>
        </w:rPr>
        <w:footnoteReference w:id="39"/>
      </w:r>
    </w:p>
    <w:p w14:paraId="7A6B3C66">
      <w:pPr>
        <w:pStyle w:val="4"/>
      </w:pPr>
      <w:bookmarkStart w:id="52" w:name="_Toc232552271"/>
      <w:bookmarkStart w:id="53" w:name="_Toc232552929"/>
      <w:r>
        <w:t xml:space="preserve">2.1.4 </w:t>
      </w:r>
      <w:r>
        <w:tab/>
      </w:r>
      <w:r>
        <w:t>Certificate of Occupancy</w:t>
      </w:r>
      <w:bookmarkEnd w:id="52"/>
      <w:bookmarkEnd w:id="53"/>
    </w:p>
    <w:p w14:paraId="7EF90239">
      <w:pPr>
        <w:pStyle w:val="10"/>
        <w:spacing w:line="480" w:lineRule="auto"/>
        <w:jc w:val="both"/>
        <w:rPr>
          <w:lang w:val="en-GB"/>
        </w:rPr>
      </w:pPr>
      <w:r>
        <w:rPr>
          <w:lang w:val="en-GB"/>
        </w:rPr>
        <w:t>A certificate of occupancy is an official document and it is issued by the appropriate authority as evidence that the named person holds a right of occupancy over land. A certificate may state the location, size, purpose, duration, rent and conditions attached to the occupancy. A certificate must be distinguished from the right it evidences. The right of occupancy is the substantive legal interest. On the other hand, the certificate is documentary evidence of that interest.</w:t>
      </w:r>
      <w:r>
        <w:rPr>
          <w:rStyle w:val="22"/>
          <w:lang w:val="en-GB"/>
        </w:rPr>
        <w:footnoteReference w:id="40"/>
      </w:r>
      <w:r>
        <w:rPr>
          <w:lang w:val="en-GB"/>
        </w:rPr>
        <w:t xml:space="preserve"> Where a statutory right is granted by the Governor, the certificate may record the grant. Where a deemed right already exists under section 34 or 36, the certificate acknowledges an interest that arose independently of its issuance. The assumption that a certificate is equivalent to an absolute and indefeasible title is incorrect. The issuing authority cannot confer a better title than it is entitled to grant. Where land is already subject to pre-existing interest which is valid and that has not been extinguished lawfully, a later certificate cannot defeat that interest. In </w:t>
      </w:r>
      <w:r>
        <w:rPr>
          <w:rStyle w:val="21"/>
          <w:lang w:val="en-GB"/>
        </w:rPr>
        <w:t>Ogunleye v Oni</w:t>
      </w:r>
      <w:r>
        <w:rPr>
          <w:lang w:val="en-GB"/>
        </w:rPr>
        <w:t>,</w:t>
      </w:r>
      <w:r>
        <w:rPr>
          <w:rStyle w:val="22"/>
          <w:lang w:val="en-GB"/>
        </w:rPr>
        <w:footnoteReference w:id="41"/>
      </w:r>
      <w:r>
        <w:rPr>
          <w:lang w:val="en-GB"/>
        </w:rPr>
        <w:t xml:space="preserve"> the plaintiff relied upon a certificate issued by the Oyo State Government and a prior customary grant. The defendant challenged the alleged grant and maintained a competing title. The Supreme Court held in substance that the certificate did not establish ownership conclusively. The holder was still required to prove a valid root of title where the land was not shown to be free for allocation. Similarly, in </w:t>
      </w:r>
      <w:r>
        <w:rPr>
          <w:rStyle w:val="21"/>
          <w:lang w:val="en-GB"/>
        </w:rPr>
        <w:t>Adole v Gwar</w:t>
      </w:r>
      <w:r>
        <w:rPr>
          <w:lang w:val="en-GB"/>
        </w:rPr>
        <w:t>,</w:t>
      </w:r>
      <w:r>
        <w:rPr>
          <w:rStyle w:val="22"/>
          <w:lang w:val="en-GB"/>
        </w:rPr>
        <w:footnoteReference w:id="42"/>
      </w:r>
      <w:r>
        <w:rPr>
          <w:lang w:val="en-GB"/>
        </w:rPr>
        <w:t xml:space="preserve"> the Supreme Court held that a certificate of occupancy is not a magical instrument that extinguishes a pre-existing title. A grant made in error over land already held by another person cannot confer a superior interest merely because it bears governmental approval. </w:t>
      </w:r>
    </w:p>
    <w:p w14:paraId="31D73793">
      <w:pPr>
        <w:pStyle w:val="4"/>
      </w:pPr>
      <w:bookmarkStart w:id="54" w:name="_Toc232552272"/>
      <w:bookmarkStart w:id="55" w:name="_Toc232552930"/>
      <w:r>
        <w:t xml:space="preserve">2.1.5 </w:t>
      </w:r>
      <w:r>
        <w:tab/>
      </w:r>
      <w:r>
        <w:t>Alienation of Land</w:t>
      </w:r>
      <w:bookmarkEnd w:id="54"/>
      <w:bookmarkEnd w:id="55"/>
    </w:p>
    <w:p w14:paraId="287BC76A">
      <w:pPr>
        <w:pStyle w:val="10"/>
        <w:spacing w:line="480" w:lineRule="auto"/>
        <w:jc w:val="both"/>
        <w:rPr>
          <w:lang w:val="en-GB"/>
        </w:rPr>
      </w:pPr>
      <w:r>
        <w:rPr>
          <w:lang w:val="en-GB"/>
        </w:rPr>
        <w:t>Alienation is the voluntary transfer or creation of an interest in land by one person in favour of another. It may occur through sale, assignment, mortgage, lease, sublease, transfer of possession, gift, exchange or other disposition.</w:t>
      </w:r>
      <w:r>
        <w:rPr>
          <w:rStyle w:val="22"/>
          <w:lang w:val="en-GB"/>
        </w:rPr>
        <w:footnoteReference w:id="43"/>
      </w:r>
      <w:r>
        <w:rPr>
          <w:lang w:val="en-GB"/>
        </w:rPr>
        <w:t xml:space="preserve"> An assignment transfers the assignor’s remaining interest to the assignee. A mortgage uses the land interest as security for the repayment of a debt or performance of an obligation. A lease or sublease grants the right to possess and use the land for a defined period, while the lessor retains a reversion. Alienation may also occur under customary law through sale, gift or allocation and this is subject to the rules which govern family and communal land. Sections 21–23 of the LUA restrict alienation. Section 21 regulates the alienation of customary rights of occupancy. Section 22 provides that the holder of a statutory right granted by the Governor must not alienate it by assignment, mortgage, transfer of possession, sublease or otherwise without the Governor’s consent first had and obtained. Section 26 declares transactions or instruments that purport to confer interest contrary to the Act null and void.</w:t>
      </w:r>
    </w:p>
    <w:p w14:paraId="2F9DEC26">
      <w:pPr>
        <w:pStyle w:val="4"/>
      </w:pPr>
      <w:bookmarkStart w:id="56" w:name="_Toc232552931"/>
      <w:bookmarkStart w:id="57" w:name="_Toc232552273"/>
      <w:r>
        <w:t xml:space="preserve">2.1.6 </w:t>
      </w:r>
      <w:r>
        <w:tab/>
      </w:r>
      <w:r>
        <w:t>Compulsory Acquisition</w:t>
      </w:r>
      <w:bookmarkEnd w:id="56"/>
      <w:bookmarkEnd w:id="57"/>
    </w:p>
    <w:p w14:paraId="587941F3">
      <w:pPr>
        <w:pStyle w:val="10"/>
        <w:spacing w:line="480" w:lineRule="auto"/>
        <w:jc w:val="both"/>
        <w:rPr>
          <w:lang w:val="en-GB"/>
        </w:rPr>
      </w:pPr>
      <w:r>
        <w:rPr>
          <w:lang w:val="en-GB"/>
        </w:rPr>
        <w:t>Compulsory acquisition is the taking of private or communal property, or an interest in it, by the State without the owner’s voluntary agreement.</w:t>
      </w:r>
      <w:r>
        <w:rPr>
          <w:rStyle w:val="22"/>
          <w:lang w:val="en-GB"/>
        </w:rPr>
        <w:footnoteReference w:id="44"/>
      </w:r>
      <w:r>
        <w:rPr>
          <w:lang w:val="en-GB"/>
        </w:rPr>
        <w:t xml:space="preserve"> It is justified by the need to provide roads, schools, hospitals, public utilities, housing schemes, environmental projects and other facilities serving the public. The power is an incident of sovereignty, but it is not unlimited. A lawful acquisition should be authorised by legislation, pursued for a genuine public purpose, conducted in accordance with prescribed procedure, and accompanied by compensation and access to an independent adjudicatory body.</w:t>
      </w:r>
      <w:r>
        <w:rPr>
          <w:rStyle w:val="22"/>
          <w:lang w:val="en-GB"/>
        </w:rPr>
        <w:footnoteReference w:id="45"/>
      </w:r>
      <w:r>
        <w:rPr>
          <w:lang w:val="en-GB"/>
        </w:rPr>
        <w:t xml:space="preserve"> Section 44(1) of the Constitution forbids the mandatory acquisition of movable assets or interests in real estate unless it is done according to the procedures and objectives outlined by law. The individual impacted should receive compensation and be granted access to a court, tribunal, or other authority capable of assessing the interests and compensation owed. (Scholars point out that the Government cannot invoke public interest as a pretext for taking land from one person and then confer it on another private person for an unrelated private benefit.</w:t>
      </w:r>
      <w:r>
        <w:rPr>
          <w:rStyle w:val="22"/>
          <w:lang w:val="en-GB"/>
        </w:rPr>
        <w:footnoteReference w:id="46"/>
      </w:r>
      <w:r>
        <w:rPr>
          <w:lang w:val="en-GB"/>
        </w:rPr>
        <w:t xml:space="preserve"> In </w:t>
      </w:r>
      <w:r>
        <w:rPr>
          <w:rStyle w:val="21"/>
          <w:lang w:val="en-GB"/>
        </w:rPr>
        <w:t>Aso Tim Doz Investment Co Ltd v Abuja Markets Management Ltd</w:t>
      </w:r>
      <w:r>
        <w:rPr>
          <w:lang w:val="en-GB"/>
        </w:rPr>
        <w:t>,</w:t>
      </w:r>
      <w:r>
        <w:rPr>
          <w:rStyle w:val="22"/>
          <w:lang w:val="en-GB"/>
        </w:rPr>
        <w:footnoteReference w:id="47"/>
      </w:r>
      <w:r>
        <w:rPr>
          <w:lang w:val="en-GB"/>
        </w:rPr>
        <w:t xml:space="preserve"> the appellant challenged the revocation of its certificate and the allocation of the property to a private company. The Court considered held inter alia that reallocating the land to a limited liability company does not satisfy the requirement of overriding public interest.</w:t>
      </w:r>
    </w:p>
    <w:p w14:paraId="3EE3E071">
      <w:pPr>
        <w:pStyle w:val="10"/>
        <w:spacing w:line="480" w:lineRule="auto"/>
        <w:jc w:val="both"/>
        <w:rPr>
          <w:lang w:val="en-GB"/>
        </w:rPr>
      </w:pPr>
    </w:p>
    <w:p w14:paraId="47262EBC">
      <w:pPr>
        <w:pStyle w:val="4"/>
      </w:pPr>
      <w:bookmarkStart w:id="58" w:name="_Toc232552274"/>
      <w:bookmarkStart w:id="59" w:name="_Toc232552932"/>
      <w:r>
        <w:t xml:space="preserve">2.1.7 </w:t>
      </w:r>
      <w:r>
        <w:tab/>
      </w:r>
      <w:r>
        <w:t>Revocation of Right of Occupancy</w:t>
      </w:r>
      <w:bookmarkEnd w:id="58"/>
      <w:bookmarkEnd w:id="59"/>
    </w:p>
    <w:p w14:paraId="1EDBBA6A">
      <w:pPr>
        <w:pStyle w:val="10"/>
        <w:spacing w:line="480" w:lineRule="auto"/>
        <w:jc w:val="both"/>
        <w:rPr>
          <w:lang w:val="en-GB"/>
        </w:rPr>
      </w:pPr>
      <w:r>
        <w:rPr>
          <w:lang w:val="en-GB"/>
        </w:rPr>
        <w:t>Revocation is the termination of a right of occupancy by the competent authority. It differs from surrender, which is voluntary, and forfeiture, which may arise from breach under customary or contractual relations.</w:t>
      </w:r>
      <w:r>
        <w:rPr>
          <w:rStyle w:val="22"/>
          <w:lang w:val="en-GB"/>
        </w:rPr>
        <w:footnoteReference w:id="48"/>
      </w:r>
      <w:r>
        <w:rPr>
          <w:lang w:val="en-GB"/>
        </w:rPr>
        <w:t xml:space="preserve">  Section 28 of the Act empowers the Governor to annul a right of occupancy in the interest of the public good. Public interest that takes precedence encompasses illegal transfer of property, particularly when the land is needed by the State or Federal Government for public objectives, as well as when the land is necessary for mining or associated activities. Revocation extinguishes a proprietary interest and it cannot be inferred from conduct or administrative intention. Section 28 requires the revocation to be signified by an authorised public officer and notice to be given to the holder. In </w:t>
      </w:r>
      <w:r>
        <w:rPr>
          <w:rStyle w:val="21"/>
          <w:lang w:val="en-GB"/>
        </w:rPr>
        <w:t>Nigerian Engineering Works Ltd v Denap Ltd</w:t>
      </w:r>
      <w:r>
        <w:rPr>
          <w:lang w:val="en-GB"/>
        </w:rPr>
        <w:t>,</w:t>
      </w:r>
      <w:r>
        <w:rPr>
          <w:rStyle w:val="22"/>
          <w:lang w:val="en-GB"/>
        </w:rPr>
        <w:footnoteReference w:id="49"/>
      </w:r>
      <w:r>
        <w:rPr>
          <w:lang w:val="en-GB"/>
        </w:rPr>
        <w:t xml:space="preserve"> the court held that a right of occupancy cannot be reallocated unless the existing holder’s interest has first been revoked and notice served. This principle was applied in </w:t>
      </w:r>
      <w:r>
        <w:rPr>
          <w:rStyle w:val="21"/>
          <w:lang w:val="en-GB"/>
        </w:rPr>
        <w:t>Nwachukwu v FCDA</w:t>
      </w:r>
      <w:r>
        <w:rPr>
          <w:lang w:val="en-GB"/>
        </w:rPr>
        <w:t>,</w:t>
      </w:r>
      <w:r>
        <w:rPr>
          <w:rStyle w:val="22"/>
          <w:lang w:val="en-GB"/>
        </w:rPr>
        <w:footnoteReference w:id="50"/>
      </w:r>
      <w:r>
        <w:rPr>
          <w:lang w:val="en-GB"/>
        </w:rPr>
        <w:t xml:space="preserve"> where the Court of Appeal held that reallocation without proof of prior revocation and notice to the existing holder was invalid. In that sense, revocation is defective where the authority fails to identify the public purpose, does not serve the holder, acts through an unauthorised person or reallocates the land before the prior interest has been extinguished lawfully. </w:t>
      </w:r>
    </w:p>
    <w:p w14:paraId="6E8B3F5C">
      <w:pPr>
        <w:pStyle w:val="4"/>
      </w:pPr>
      <w:bookmarkStart w:id="60" w:name="_Toc232552275"/>
      <w:bookmarkStart w:id="61" w:name="_Toc232552933"/>
      <w:r>
        <w:t xml:space="preserve">2.1.8 </w:t>
      </w:r>
      <w:r>
        <w:tab/>
      </w:r>
      <w:r>
        <w:t>Compensation</w:t>
      </w:r>
      <w:bookmarkEnd w:id="60"/>
      <w:bookmarkEnd w:id="61"/>
    </w:p>
    <w:p w14:paraId="6F0A97DE">
      <w:pPr>
        <w:pStyle w:val="10"/>
        <w:spacing w:line="480" w:lineRule="auto"/>
        <w:jc w:val="both"/>
        <w:rPr>
          <w:lang w:val="en-GB"/>
        </w:rPr>
      </w:pPr>
      <w:r>
        <w:rPr>
          <w:lang w:val="en-GB"/>
        </w:rPr>
        <w:t>Compensation is the monetary or other legally recognised redress payable to a person whose property or interest has been acquired compulsorily or extinguished lawfully. Its purpose is, as far as money or replacement property achieves it, to place the affected person in a position equivalent to that occupied before the acquisition. Section 44 of the Constitution provides for compensation and access to a court or tribunal for determining the person’s interest and compensation. Section 29 of the LUA provides compensation where a right of occupancy is revoked for specified public or mining purposes. For land, compensation is linked to rent paid during the year of revocation. For buildings, installations or improvements, compensation is based on replacement cost assessed according to prescribed principles, less depreciation. Crops are compensated according to rates prescribed by the appropriate officer. Therefore, the Act places considerable emphasis on unexhausted improvements, not the open-market value of the land interest itself. Critics argue that this approach is controversial.</w:t>
      </w:r>
      <w:r>
        <w:rPr>
          <w:rStyle w:val="22"/>
          <w:lang w:val="en-GB"/>
        </w:rPr>
        <w:footnoteReference w:id="51"/>
      </w:r>
      <w:r>
        <w:rPr>
          <w:lang w:val="en-GB"/>
        </w:rPr>
        <w:t xml:space="preserve"> Bare land may possess substantial economic value even where no building has been erected. Urban land may be valuable because of its location, planning potential and market demand. Agricultural or communal land may sustain livelihoods even when there are no permanent structures.</w:t>
      </w:r>
      <w:r>
        <w:rPr>
          <w:rStyle w:val="22"/>
          <w:lang w:val="en-GB"/>
        </w:rPr>
        <w:footnoteReference w:id="52"/>
      </w:r>
      <w:r>
        <w:rPr>
          <w:lang w:val="en-GB"/>
        </w:rPr>
        <w:t xml:space="preserve"> Compensation would not reflect the loss suffered where it is limited to improvements. </w:t>
      </w:r>
    </w:p>
    <w:p w14:paraId="04710BC6">
      <w:pPr>
        <w:pStyle w:val="10"/>
        <w:spacing w:line="480" w:lineRule="auto"/>
        <w:jc w:val="both"/>
        <w:rPr>
          <w:lang w:val="en-GB"/>
        </w:rPr>
      </w:pPr>
      <w:r>
        <w:rPr>
          <w:lang w:val="en-GB"/>
        </w:rPr>
        <w:t xml:space="preserve">Section 30 refers disputes which concerns the amount of compensation to the appropriate Land Use and Allocation Committee. Section 47 purports to restrict judicial inquiry into the amount or adequacy of compensation in certain circumstances. Furthermore, compensation may take the form of money or resettlement. Section 33 allows the Governor, in appropriate cases, to offer resettlement in lieu of monetary compensation. However, resettlement is meaningful where the replacement land or accommodation is suitable, secure, accessible and capable of sustaining the livelihood of the affected person. </w:t>
      </w:r>
    </w:p>
    <w:p w14:paraId="7FDD6299">
      <w:pPr>
        <w:pStyle w:val="3"/>
      </w:pPr>
      <w:bookmarkStart w:id="62" w:name="_Toc232552934"/>
      <w:bookmarkStart w:id="63" w:name="_Toc232552276"/>
      <w:r>
        <w:t xml:space="preserve">2.2 </w:t>
      </w:r>
      <w:r>
        <w:tab/>
      </w:r>
      <w:r>
        <w:t>Theoretical Framework</w:t>
      </w:r>
      <w:bookmarkEnd w:id="62"/>
      <w:bookmarkEnd w:id="63"/>
    </w:p>
    <w:p w14:paraId="6B1C8635">
      <w:pPr>
        <w:pStyle w:val="10"/>
        <w:spacing w:line="480" w:lineRule="auto"/>
        <w:jc w:val="both"/>
        <w:rPr>
          <w:lang w:val="en-GB"/>
        </w:rPr>
      </w:pPr>
      <w:r>
        <w:rPr>
          <w:lang w:val="en-GB"/>
        </w:rPr>
        <w:t xml:space="preserve">The theoretical framework provides the intellectual basis through which the subject of this study is explained and evaluated. </w:t>
      </w:r>
    </w:p>
    <w:p w14:paraId="40559E8F">
      <w:pPr>
        <w:pStyle w:val="4"/>
      </w:pPr>
      <w:bookmarkStart w:id="64" w:name="_Toc232552277"/>
      <w:bookmarkStart w:id="65" w:name="_Toc232552935"/>
      <w:r>
        <w:t xml:space="preserve">2.2.1 </w:t>
      </w:r>
      <w:r>
        <w:tab/>
      </w:r>
      <w:r>
        <w:t>Sociological Jurisprudence</w:t>
      </w:r>
      <w:bookmarkEnd w:id="64"/>
      <w:bookmarkEnd w:id="65"/>
    </w:p>
    <w:p w14:paraId="2FB09ECE">
      <w:pPr>
        <w:pStyle w:val="10"/>
        <w:spacing w:line="480" w:lineRule="auto"/>
        <w:jc w:val="both"/>
        <w:rPr>
          <w:lang w:val="en-GB"/>
        </w:rPr>
      </w:pPr>
      <w:r>
        <w:rPr>
          <w:lang w:val="en-GB"/>
        </w:rPr>
        <w:t>Sociological jurisprudence asserts that law is a social institution and its value should be assessed by its effects upon society. It rejects an approach that considers only the logical structure of legal rules.</w:t>
      </w:r>
      <w:r>
        <w:rPr>
          <w:rStyle w:val="22"/>
          <w:lang w:val="en-GB"/>
        </w:rPr>
        <w:footnoteReference w:id="53"/>
      </w:r>
      <w:r>
        <w:rPr>
          <w:lang w:val="en-GB"/>
        </w:rPr>
        <w:t xml:space="preserve"> The theory asks whether law responds to social conditions and contributes to social order and development. Roscoe Pound is one of the principal exponents of sociological jurisprudence. He asserted that law is an instrument of social engineering through which competing individual, public and social interests may be identified, balanced and secured with the least possible friction and waste.</w:t>
      </w:r>
      <w:r>
        <w:rPr>
          <w:rStyle w:val="22"/>
          <w:lang w:val="en-GB"/>
        </w:rPr>
        <w:footnoteReference w:id="54"/>
      </w:r>
      <w:r>
        <w:rPr>
          <w:lang w:val="en-GB"/>
        </w:rPr>
        <w:t xml:space="preserve"> Therefore, the law should be evaluated by what it accomplishes in society. </w:t>
      </w:r>
    </w:p>
    <w:p w14:paraId="25C909EC">
      <w:pPr>
        <w:pStyle w:val="10"/>
        <w:spacing w:line="480" w:lineRule="auto"/>
        <w:jc w:val="both"/>
        <w:rPr>
          <w:lang w:val="en-GB"/>
        </w:rPr>
      </w:pPr>
      <w:r>
        <w:rPr>
          <w:lang w:val="en-GB"/>
        </w:rPr>
        <w:t>Applied to land administration, sociological jurisprudence recognises several competing interests. Individuals have interests in secure possession, transferability, inheritance, housing and protection against arbitrary deprivation. Families and communities have interests in customary tenure, ancestral land and collective decision-making. Financial institutions and investors require ascertainable and mortgageable titles. Government has interests in planning, infrastructure, environmental management and equitable access. The wider society has interests in housing, food security, employment and sustainable development. The LUA may be understood as an exercise in social engineering. Its structure sought to balance social interests in the administration of the land. The strength of sociological jurisprudence is that it connects legal analysis to social and economic consequences. Its weakness is that “social interest” is defined broadly and manipulated by government. A claim that revocation promotes development may conceal the transfer of land to a favoured private actor. For this study, sociological jurisprudence provides the primary basis for evaluating whether the LUA has achieved equitable land administration. Where the operation of the Act produces outcomes contrary to those purposes, reform becomes necessary.</w:t>
      </w:r>
    </w:p>
    <w:p w14:paraId="2C8E6858">
      <w:pPr>
        <w:pStyle w:val="4"/>
      </w:pPr>
      <w:bookmarkStart w:id="66" w:name="_Toc232552936"/>
      <w:bookmarkStart w:id="67" w:name="_Toc232552278"/>
      <w:r>
        <w:t xml:space="preserve">2.2.2 </w:t>
      </w:r>
      <w:r>
        <w:tab/>
      </w:r>
      <w:r>
        <w:t>Legal Positivism</w:t>
      </w:r>
      <w:bookmarkEnd w:id="66"/>
      <w:bookmarkEnd w:id="67"/>
    </w:p>
    <w:p w14:paraId="6E45C7FD">
      <w:pPr>
        <w:pStyle w:val="10"/>
        <w:spacing w:line="480" w:lineRule="auto"/>
        <w:jc w:val="both"/>
        <w:rPr>
          <w:lang w:val="en-GB"/>
        </w:rPr>
      </w:pPr>
      <w:r>
        <w:rPr>
          <w:lang w:val="en-GB"/>
        </w:rPr>
        <w:t>Legal positivism maintains that the existence and validity of a legal rule depend upon its source and the procedure through which it was created, not its moral quality.</w:t>
      </w:r>
      <w:r>
        <w:rPr>
          <w:rStyle w:val="22"/>
          <w:lang w:val="en-GB"/>
        </w:rPr>
        <w:footnoteReference w:id="55"/>
      </w:r>
      <w:r>
        <w:rPr>
          <w:lang w:val="en-GB"/>
        </w:rPr>
        <w:t xml:space="preserve"> A law may be valid even where it is unjust, inefficient or undesirable socially. John Austin asserts that law is the command of a sovereign backed by sanction. The command theory does not describe a modern constitutional system. However, it highlights the coercive authority of rules enacted by a superior institution. Hans Kelsen developed a hierarchical theory in which the validity of one legal norm derives from a higher norm within the legal order. HLA Hart distinguished primary rules which govern conduct from secondary rules which identify, change and adjudicate legal norms.</w:t>
      </w:r>
      <w:r>
        <w:rPr>
          <w:rStyle w:val="22"/>
          <w:lang w:val="en-GB"/>
        </w:rPr>
        <w:footnoteReference w:id="56"/>
      </w:r>
    </w:p>
    <w:p w14:paraId="061634D1">
      <w:pPr>
        <w:pStyle w:val="10"/>
        <w:spacing w:line="480" w:lineRule="auto"/>
        <w:jc w:val="both"/>
        <w:rPr>
          <w:lang w:val="en-GB"/>
        </w:rPr>
      </w:pPr>
      <w:r>
        <w:rPr>
          <w:lang w:val="en-GB"/>
        </w:rPr>
        <w:t>The LUA lends itself to positivist analysis. It was originally enacted as a military decree and preserved as an existing law. Section 315(5)(d) of the Constitution gives it an exceptional status. In that sense, it shall not be altered or repealed except in accordance with the procedure which is applicable to the alteration of the Constitution. Consequently, its legal validity derives from its enactment as well as constitutional preservation. Legal positivism is useful because it prevents the arguments for reforms from obscuring the present law. Before asserting that the Governor’s powers are excessive, the researcher must identify the provisions which confer them.  Therefore, the theory supports rigorous analysis. The theory also explains the distinction between judicial interpretation and legislative amendment. Courts may interpret ambiguous provisions and invalidate administrative acts that exceed statutory authority.  However, they cannot rewrite the Act because an alternative rule appears preferable. The limitation of positivism is that validity does not establish justice or effectiveness. A rule may have an impeccable constitutional pedigree yet produce consequences which are oppressive. Therefore, this study uses legal positivism to establish what the law is. On the other hand, other theories assist in determining what the law ought to be. It explains the formal authority of the Act but it does not, by itself, resolve the case for amendment.</w:t>
      </w:r>
    </w:p>
    <w:p w14:paraId="1CF4EBCD">
      <w:pPr>
        <w:pStyle w:val="4"/>
      </w:pPr>
      <w:bookmarkStart w:id="68" w:name="_Toc232552279"/>
      <w:bookmarkStart w:id="69" w:name="_Toc232552937"/>
      <w:r>
        <w:t xml:space="preserve">2.2.3 </w:t>
      </w:r>
      <w:r>
        <w:tab/>
      </w:r>
      <w:r>
        <w:t>Natural Law Theory</w:t>
      </w:r>
      <w:bookmarkEnd w:id="68"/>
      <w:bookmarkEnd w:id="69"/>
    </w:p>
    <w:p w14:paraId="7B06E1F3">
      <w:pPr>
        <w:pStyle w:val="10"/>
        <w:spacing w:line="480" w:lineRule="auto"/>
        <w:jc w:val="both"/>
        <w:rPr>
          <w:lang w:val="en-GB"/>
        </w:rPr>
      </w:pPr>
      <w:r>
        <w:rPr>
          <w:lang w:val="en-GB"/>
        </w:rPr>
        <w:t>Natural law theory holds that law is connected to reason, justice and moral principles that transcend the will of a lawmaker.</w:t>
      </w:r>
      <w:r>
        <w:rPr>
          <w:rStyle w:val="22"/>
          <w:lang w:val="en-GB"/>
        </w:rPr>
        <w:footnoteReference w:id="57"/>
      </w:r>
      <w:r>
        <w:rPr>
          <w:lang w:val="en-GB"/>
        </w:rPr>
        <w:t xml:space="preserve"> Different natural-law scholars formulate the relationship differently. However, the central proposition is that legal authority should be directed towards the common good and it should respect the dignity and rights of persons. Classically, this theory is associated with Aristotle and Thomas Aquinas. Aquinas held that law is an ordinance of reason promulgated by a person responsible for the community and directed towards the common good. A rule that departs radically from justice may possess coercive force and it would lack the moral quality of law.</w:t>
      </w:r>
      <w:r>
        <w:rPr>
          <w:rStyle w:val="22"/>
          <w:lang w:val="en-GB"/>
        </w:rPr>
        <w:footnoteReference w:id="58"/>
      </w:r>
    </w:p>
    <w:p w14:paraId="5217163F">
      <w:pPr>
        <w:pStyle w:val="10"/>
        <w:spacing w:line="480" w:lineRule="auto"/>
        <w:jc w:val="both"/>
        <w:rPr>
          <w:lang w:val="en-GB"/>
        </w:rPr>
      </w:pPr>
      <w:r>
        <w:rPr>
          <w:lang w:val="en-GB"/>
        </w:rPr>
        <w:t>The LUA invokes the language of the common good. Section 1 requires the Governor to hold and administer land for the use and common benefit of Nigerians. Natural law provides a basis for asking whether the statutory arrangement promotes that common benefit or expands executive control. The theory is relevant to compulsory acquisition and compensation. The State may require private land for roads, hospitals and other public facilities. However, justice requires that the burden should not be imposed upon the dispossessed holder entirely. Therefore, compensation is not only a statutory mechanism. It reflects the moral principle that a person should not be compelled to bear a disproportionate share of the cost of public development. The criticism of natural law is that ideas of justice and morality may be contested.</w:t>
      </w:r>
      <w:r>
        <w:rPr>
          <w:rStyle w:val="22"/>
          <w:lang w:val="en-GB"/>
        </w:rPr>
        <w:footnoteReference w:id="59"/>
      </w:r>
      <w:r>
        <w:rPr>
          <w:lang w:val="en-GB"/>
        </w:rPr>
        <w:t xml:space="preserve"> Different groups may disagree about whether public development justifies compulsory acquisition or what level of compensation is fair. The theory may also be criticised for giving judges excessive discretion to substitute their moral preferences for enacted law. Nevertheless, natural law remains important to a project concerned with reform. Amendment cannot be justified solely by showing that existing provisions are inconvenient. It must also demonstrate that they produce unfair outcomes or that they do not protect legitimate rights. Natural law supplies that normative foundation.</w:t>
      </w:r>
    </w:p>
    <w:p w14:paraId="5ABD492D">
      <w:pPr>
        <w:pStyle w:val="4"/>
      </w:pPr>
      <w:bookmarkStart w:id="70" w:name="_Toc232552938"/>
      <w:bookmarkStart w:id="71" w:name="_Toc232552280"/>
      <w:r>
        <w:t xml:space="preserve">2.2.4 </w:t>
      </w:r>
      <w:r>
        <w:tab/>
      </w:r>
      <w:r>
        <w:t>Legal Realism</w:t>
      </w:r>
      <w:bookmarkEnd w:id="70"/>
      <w:bookmarkEnd w:id="71"/>
    </w:p>
    <w:p w14:paraId="2AAD1878">
      <w:pPr>
        <w:pStyle w:val="10"/>
        <w:spacing w:line="480" w:lineRule="auto"/>
        <w:jc w:val="both"/>
        <w:rPr>
          <w:lang w:val="en-GB"/>
        </w:rPr>
      </w:pPr>
      <w:r>
        <w:rPr>
          <w:lang w:val="en-GB"/>
        </w:rPr>
        <w:t>Legal realism focuses on the law as it operates in practice not law expressed in statutes and judicial formulas. Proponents of realism contend that the decisions made in legal contexts are shaped by the actions of judges, officials, institutions, and societal participants.</w:t>
      </w:r>
      <w:r>
        <w:rPr>
          <w:rStyle w:val="22"/>
          <w:lang w:val="en-GB"/>
        </w:rPr>
        <w:footnoteReference w:id="60"/>
      </w:r>
      <w:r>
        <w:rPr>
          <w:lang w:val="en-GB"/>
        </w:rPr>
        <w:t xml:space="preserve"> To understand law, it is therefore necessary to study implementation, discretion and actual consequences. American legal realism is associated with Oliver Wendell Holmes Jr, Karl Llewellyn and Jerome Frank. Holmes argued that the life of the law has not been logic alone but experience.</w:t>
      </w:r>
      <w:r>
        <w:rPr>
          <w:rStyle w:val="22"/>
          <w:lang w:val="en-GB"/>
        </w:rPr>
        <w:footnoteReference w:id="61"/>
      </w:r>
      <w:r>
        <w:rPr>
          <w:lang w:val="en-GB"/>
        </w:rPr>
        <w:t xml:space="preserve"> From a realist perspective, the practical meaning of a statute depends substantially upon how officials apply it and how courts respond to disputes. </w:t>
      </w:r>
    </w:p>
    <w:p w14:paraId="4D907442">
      <w:pPr>
        <w:pStyle w:val="10"/>
        <w:spacing w:line="480" w:lineRule="auto"/>
        <w:jc w:val="both"/>
        <w:rPr>
          <w:lang w:val="en-GB"/>
        </w:rPr>
      </w:pPr>
      <w:r>
        <w:rPr>
          <w:lang w:val="en-GB"/>
        </w:rPr>
        <w:t xml:space="preserve">Legal realism is suitable for analysing the LUA because a considerable gap exists between its stated purpose and everyday operation. Section 1 speaks of administration for the common benefit of Nigerians, yet access to documented land may depend upon bureaucratic processes which are lengthy. Section 22 presents consent as a legal requirement but imposes no effective deadline for administrative determination. Section 28 refers to overriding public interest, yet disputes arise where acquired land is reallocated to private entities. Legal realism directs attention to the institutional actors responsible for the Act. These include the Governor, Local Governments, Land Use and Allocation Committees, land registries, survey departments and courts. Realism also explains why judicial protection may be uneven. A person with financial resources may challenge an unlawful revocation. On the other hand, a rural farmer or displaced community may lack access to legal representation. The existence of a theoretical remedy does not mean that the right is protected effectively.  The major strength of legal realism is that it exposes the difference between law in books and law in action. Its weakness is that it focuses on behaviour excessively. This may understate the normative force of legal rules. Administrative misconduct does not mean the rule itself is irrelevant. The rule may provide the standard by which the misconduct is condemned. In this study, legal realism complements the analysis. It examines how the powers of the governor in the act operate beyond their formal wording. </w:t>
      </w:r>
    </w:p>
    <w:p w14:paraId="39C8D873">
      <w:pPr>
        <w:pStyle w:val="10"/>
        <w:spacing w:line="480" w:lineRule="auto"/>
        <w:jc w:val="both"/>
      </w:pPr>
      <w:r>
        <w:br w:type="page"/>
      </w:r>
    </w:p>
    <w:p w14:paraId="692490C3">
      <w:pPr>
        <w:pStyle w:val="2"/>
      </w:pPr>
      <w:bookmarkStart w:id="72" w:name="_Toc232552281"/>
      <w:bookmarkStart w:id="73" w:name="_Toc232552939"/>
      <w:r>
        <w:t>CHAPTER THREE</w:t>
      </w:r>
      <w:bookmarkEnd w:id="72"/>
      <w:bookmarkEnd w:id="73"/>
    </w:p>
    <w:p w14:paraId="3AD272A4">
      <w:pPr>
        <w:pStyle w:val="2"/>
      </w:pPr>
      <w:bookmarkStart w:id="74" w:name="_Toc232552940"/>
      <w:bookmarkStart w:id="75" w:name="_Toc232552282"/>
      <w:r>
        <w:t>LEGISLATIVE AND INSTITUTIONAL FRAMEWORK FOR LAND ADMINISTRATION UNDER THE LUA</w:t>
      </w:r>
      <w:bookmarkEnd w:id="74"/>
      <w:bookmarkEnd w:id="75"/>
    </w:p>
    <w:p w14:paraId="3684C356">
      <w:pPr>
        <w:pStyle w:val="3"/>
      </w:pPr>
      <w:bookmarkStart w:id="76" w:name="_Toc232552941"/>
      <w:bookmarkStart w:id="77" w:name="_Toc232552283"/>
      <w:r>
        <w:t>3.1</w:t>
      </w:r>
      <w:r>
        <w:tab/>
      </w:r>
      <w:r>
        <w:t>Legislative Framework</w:t>
      </w:r>
      <w:bookmarkEnd w:id="76"/>
      <w:bookmarkEnd w:id="77"/>
    </w:p>
    <w:p w14:paraId="1E469834">
      <w:pPr>
        <w:pStyle w:val="4"/>
      </w:pPr>
      <w:bookmarkStart w:id="78" w:name="_Toc232552942"/>
      <w:bookmarkStart w:id="79" w:name="_Toc232552284"/>
      <w:r>
        <w:t xml:space="preserve">3.1.1 </w:t>
      </w:r>
      <w:r>
        <w:tab/>
      </w:r>
      <w:r>
        <w:t>Constitution of the Federal Republic of Nigeria (CFRN) 1999</w:t>
      </w:r>
      <w:bookmarkEnd w:id="78"/>
      <w:bookmarkEnd w:id="79"/>
    </w:p>
    <w:p w14:paraId="1549D431">
      <w:pPr>
        <w:pStyle w:val="10"/>
        <w:spacing w:line="480" w:lineRule="auto"/>
        <w:jc w:val="both"/>
        <w:rPr>
          <w:lang w:val="en-GB"/>
        </w:rPr>
      </w:pPr>
      <w:r>
        <w:rPr>
          <w:lang w:val="en-GB"/>
        </w:rPr>
        <w:t>The Constitution is the supreme source of Nigerian law. Section 1 establishes its binding force and provides that any law inconsistent with it is void to the extent of the inconsistency. Therefore, the administration of land must conform to the provisions of the constitution which governs property rights, compulsory acquisition, fair hearing, legislative competence and existing laws.</w:t>
      </w:r>
    </w:p>
    <w:p w14:paraId="4C5E1259">
      <w:pPr>
        <w:pStyle w:val="4"/>
      </w:pPr>
      <w:bookmarkStart w:id="80" w:name="_Toc232552943"/>
      <w:bookmarkStart w:id="81" w:name="_Toc232552285"/>
      <w:r>
        <w:t>ii.</w:t>
      </w:r>
      <w:r>
        <w:tab/>
      </w:r>
      <w:r>
        <w:t>Right to acquire and own immovable property</w:t>
      </w:r>
      <w:bookmarkEnd w:id="80"/>
      <w:bookmarkEnd w:id="81"/>
    </w:p>
    <w:p w14:paraId="4FF2C329">
      <w:pPr>
        <w:pStyle w:val="10"/>
        <w:spacing w:line="480" w:lineRule="auto"/>
        <w:jc w:val="both"/>
        <w:rPr>
          <w:lang w:val="en-GB"/>
        </w:rPr>
      </w:pPr>
      <w:r>
        <w:rPr>
          <w:lang w:val="en-GB"/>
        </w:rPr>
        <w:t xml:space="preserve">Section 43 of the Constitution states that, in accordance with its provisions, every citizen of Nigeria has the right to acquire and possess immovable property in any part of Nigeria. </w:t>
      </w:r>
      <w:r>
        <w:rPr>
          <w:lang w:val="en-GB"/>
        </w:rPr>
        <w:br w:type="textWrapping"/>
      </w:r>
      <w:r>
        <w:rPr>
          <w:lang w:val="en-GB"/>
        </w:rPr>
        <w:t>The section prevents the State from denying a citizen the ability to acquire land. This right is also qualified by the words “subject to the provisions of this Constitution.” Consequently, it is not equivalent to an absolute guarantee that every citizen must receive land from government or may use land without regulation. For a person to claim protection under this section, he/she must establish a proprietary interest and comply with laws which govern acquisition, registration and development. The constitutional right must also be read together with the LUA. The Act recognises landholding principally through statutory, customary and deemed rights of occupancy. In essence, section 43 preserves the capacity to own an interest in immovable property. The Act determines the form, administration and conditions of that interest. In essence, section 43 protects recognisable proprietary interests against arbitrary denial. It does not remove the regulatory powers of government but requires such powers to be exercised within the legal framework.</w:t>
      </w:r>
    </w:p>
    <w:p w14:paraId="2F35EC23">
      <w:pPr>
        <w:pStyle w:val="4"/>
      </w:pPr>
      <w:bookmarkStart w:id="82" w:name="_Toc232552944"/>
      <w:bookmarkStart w:id="83" w:name="_Toc232552286"/>
      <w:r>
        <w:t xml:space="preserve">ii.  </w:t>
      </w:r>
      <w:r>
        <w:tab/>
      </w:r>
      <w:r>
        <w:t>Protects against compulsory acquisition</w:t>
      </w:r>
      <w:bookmarkEnd w:id="82"/>
      <w:bookmarkEnd w:id="83"/>
    </w:p>
    <w:p w14:paraId="42B0D84D">
      <w:pPr>
        <w:pStyle w:val="10"/>
        <w:spacing w:line="480" w:lineRule="auto"/>
        <w:jc w:val="both"/>
        <w:rPr>
          <w:lang w:val="en-GB"/>
        </w:rPr>
      </w:pPr>
      <w:r>
        <w:rPr>
          <w:lang w:val="en-GB"/>
        </w:rPr>
        <w:t xml:space="preserve">Section 44(1) prohibits the taking of movable property compulsory or an interest in immovable property except in the manner and for the purposes prescribed by law. The law must provide for compensation and must give the affected person access to a court, tribunal or other adjudicatory body for determining the person’s interest and the compensation. This protection contains four principal elements. First, there must be a proprietary interest. Secondly, the taking must be authorised by law. Thirdly, the acquisition must be for a prescribed purpose. Fourthly, the affected person must be entitled to compensation and access to independent adjudication. In </w:t>
      </w:r>
      <w:r>
        <w:rPr>
          <w:rStyle w:val="21"/>
          <w:lang w:val="en-GB"/>
        </w:rPr>
        <w:t>Nwachukwu v Federal Capital Development Authority</w:t>
      </w:r>
      <w:r>
        <w:rPr>
          <w:lang w:val="en-GB"/>
        </w:rPr>
        <w:t>,</w:t>
      </w:r>
      <w:r>
        <w:rPr>
          <w:rStyle w:val="22"/>
          <w:lang w:val="en-GB"/>
        </w:rPr>
        <w:footnoteReference w:id="62"/>
      </w:r>
      <w:r>
        <w:rPr>
          <w:lang w:val="en-GB"/>
        </w:rPr>
        <w:t xml:space="preserve"> there was a dispute which concerned competing claims to land in Abuja after the administrative authority purported to revoke and reallocate the land. The Court of Appeal held that the authority had to prove a valid revocation and proper service of notice on the existing holder before any subsequent reallocation could be sustained. The court applied section 28(6) of the Act and rejected the proposition that reallocation alone was sufficient proof that the earlier interest had been extinguished. </w:t>
      </w:r>
    </w:p>
    <w:p w14:paraId="1566D6CB">
      <w:pPr>
        <w:pStyle w:val="4"/>
      </w:pPr>
      <w:bookmarkStart w:id="84" w:name="_Toc232552287"/>
      <w:bookmarkStart w:id="85" w:name="_Toc232552945"/>
      <w:r>
        <w:t xml:space="preserve">iii. </w:t>
      </w:r>
      <w:r>
        <w:tab/>
      </w:r>
      <w:r>
        <w:t>Constitutional status of the LUA</w:t>
      </w:r>
      <w:bookmarkEnd w:id="84"/>
      <w:bookmarkEnd w:id="85"/>
    </w:p>
    <w:p w14:paraId="254AF4E7">
      <w:pPr>
        <w:pStyle w:val="10"/>
        <w:spacing w:line="480" w:lineRule="auto"/>
        <w:jc w:val="both"/>
        <w:rPr>
          <w:lang w:val="en-GB"/>
        </w:rPr>
      </w:pPr>
      <w:r>
        <w:rPr>
          <w:lang w:val="en-GB"/>
        </w:rPr>
        <w:t xml:space="preserve">The LUA originated as the Land Use Decree 1978 under military rule. On the return to constitutional government, it was preserved as an existing law. It is now cited as Cap L5, Laws of the Federation of Nigeria 2004.  It is not simply an ordinary Act of the National Assembly that may be amended by an ordinary legislative process. Section 315(5)(d) stipulates that the LUA is one of the enactments that cannot be altered or repealed except in accordance with the procedure prescribed for altering the Constitution. In that sense, its amendment is entrenched procedurally and its provisions cannot be modified through a simple federal bill. It was pointed out that the entrenchment was intended to preserve a uniform national land policy and protect the scheme from frequent alteration. However, it also means that obsolete or problematic provisions remain difficult to reform. </w:t>
      </w:r>
    </w:p>
    <w:p w14:paraId="47A1FC83">
      <w:pPr>
        <w:pStyle w:val="4"/>
      </w:pPr>
      <w:bookmarkStart w:id="86" w:name="_Toc232552288"/>
      <w:bookmarkStart w:id="87" w:name="_Toc232552946"/>
      <w:r>
        <w:t xml:space="preserve">3.1.2 </w:t>
      </w:r>
      <w:r>
        <w:tab/>
      </w:r>
      <w:r>
        <w:t>Land Use Act, Cap L5, Laws of the Federation of Nigeria 2004</w:t>
      </w:r>
      <w:bookmarkEnd w:id="86"/>
      <w:bookmarkEnd w:id="87"/>
    </w:p>
    <w:p w14:paraId="2C610914">
      <w:pPr>
        <w:spacing w:line="480" w:lineRule="auto"/>
        <w:jc w:val="both"/>
        <w:rPr>
          <w:rFonts w:ascii="Times New Roman" w:hAnsi="Times New Roman" w:cs="Times New Roman"/>
          <w:sz w:val="24"/>
          <w:szCs w:val="24"/>
        </w:rPr>
      </w:pPr>
      <w:r>
        <w:rPr>
          <w:rFonts w:ascii="Times New Roman" w:hAnsi="Times New Roman" w:cs="Times New Roman"/>
          <w:sz w:val="24"/>
          <w:szCs w:val="24"/>
        </w:rPr>
        <w:t>The LUA contains 52 sections and it is divided into provisions which deal with general land administration, principles of land tenure, rents, alienation, revocation, compensation, transitional interests, jurisdiction and miscellaneous matters.</w:t>
      </w:r>
    </w:p>
    <w:p w14:paraId="21A615C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Pr>
          <w:rFonts w:ascii="Times New Roman" w:hAnsi="Times New Roman" w:cs="Times New Roman"/>
          <w:b/>
          <w:sz w:val="24"/>
          <w:szCs w:val="24"/>
        </w:rPr>
        <w:tab/>
      </w:r>
      <w:r>
        <w:rPr>
          <w:rFonts w:ascii="Times New Roman" w:hAnsi="Times New Roman" w:cs="Times New Roman"/>
          <w:b/>
          <w:sz w:val="24"/>
          <w:szCs w:val="24"/>
        </w:rPr>
        <w:t>Vesting of land under section 1</w:t>
      </w:r>
    </w:p>
    <w:p w14:paraId="7B9EB1D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1 vests all land within the territory of each state, except land vested in the Federal Government or its agencies, in the Governor. The Governor is to hold the land in trust and administer it for the use and common benefit of Nigerians. In </w:t>
      </w:r>
      <w:r>
        <w:rPr>
          <w:rStyle w:val="21"/>
          <w:rFonts w:ascii="Times New Roman" w:hAnsi="Times New Roman" w:cs="Times New Roman"/>
          <w:sz w:val="24"/>
          <w:szCs w:val="24"/>
        </w:rPr>
        <w:t>Adole v Gwar</w:t>
      </w:r>
      <w:r>
        <w:rPr>
          <w:rFonts w:ascii="Times New Roman" w:hAnsi="Times New Roman" w:cs="Times New Roman"/>
          <w:sz w:val="24"/>
          <w:szCs w:val="24"/>
        </w:rPr>
        <w:t>,</w:t>
      </w:r>
      <w:r>
        <w:rPr>
          <w:rStyle w:val="22"/>
          <w:rFonts w:ascii="Times New Roman" w:hAnsi="Times New Roman" w:cs="Times New Roman"/>
          <w:sz w:val="24"/>
          <w:szCs w:val="24"/>
        </w:rPr>
        <w:footnoteReference w:id="63"/>
      </w:r>
      <w:r>
        <w:rPr>
          <w:rFonts w:ascii="Times New Roman" w:hAnsi="Times New Roman" w:cs="Times New Roman"/>
          <w:sz w:val="24"/>
          <w:szCs w:val="24"/>
        </w:rPr>
        <w:t xml:space="preserve"> a dispute arose from competing customary claims to land and one of them was supported by a certificate of occupancy. The Supreme Court held that the Act did not extinguish valid pre-existing customary titles. A subsequent certificate could not defeat a lawful interest where the land had not been acquired or made available for allocation. The case confirms that vesting in the Governor is not equivalent to confiscation of all private and customary interests.  </w:t>
      </w:r>
    </w:p>
    <w:p w14:paraId="12193536">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Pr>
          <w:rFonts w:ascii="Times New Roman" w:hAnsi="Times New Roman" w:cs="Times New Roman"/>
          <w:b/>
          <w:sz w:val="24"/>
          <w:szCs w:val="24"/>
        </w:rPr>
        <w:tab/>
      </w:r>
      <w:r>
        <w:rPr>
          <w:rFonts w:ascii="Times New Roman" w:hAnsi="Times New Roman" w:cs="Times New Roman"/>
          <w:b/>
          <w:sz w:val="24"/>
          <w:szCs w:val="24"/>
        </w:rPr>
        <w:t>Control of urban and non-urban land under sections 2 and 3</w:t>
      </w:r>
    </w:p>
    <w:p w14:paraId="6C1B23C5">
      <w:pPr>
        <w:spacing w:line="480" w:lineRule="auto"/>
        <w:jc w:val="both"/>
        <w:rPr>
          <w:rFonts w:ascii="Times New Roman" w:hAnsi="Times New Roman" w:cs="Times New Roman"/>
          <w:sz w:val="24"/>
          <w:szCs w:val="24"/>
        </w:rPr>
      </w:pPr>
      <w:r>
        <w:rPr>
          <w:rFonts w:ascii="Times New Roman" w:hAnsi="Times New Roman" w:cs="Times New Roman"/>
          <w:sz w:val="24"/>
          <w:szCs w:val="24"/>
        </w:rPr>
        <w:t>Section 2 divides the administration of land between the Governor and Local Governments. Urban land is placed under the control and management of the Governor. Other land is placed under the Local Government within whose area it is situated. Section 3 authorises the Governor to designate areas as urban land.</w:t>
      </w:r>
    </w:p>
    <w:p w14:paraId="68381D86">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iii. </w:t>
      </w:r>
      <w:r>
        <w:rPr>
          <w:rFonts w:ascii="Times New Roman" w:hAnsi="Times New Roman" w:cs="Times New Roman"/>
          <w:b/>
          <w:sz w:val="24"/>
          <w:szCs w:val="24"/>
        </w:rPr>
        <w:tab/>
      </w:r>
      <w:r>
        <w:rPr>
          <w:rFonts w:ascii="Times New Roman" w:hAnsi="Times New Roman" w:cs="Times New Roman"/>
          <w:b/>
          <w:sz w:val="24"/>
          <w:szCs w:val="24"/>
        </w:rPr>
        <w:t>Powers of the Governor under section 5</w:t>
      </w:r>
    </w:p>
    <w:p w14:paraId="4BD17951">
      <w:pPr>
        <w:spacing w:line="480" w:lineRule="auto"/>
        <w:jc w:val="both"/>
        <w:rPr>
          <w:rFonts w:ascii="Times New Roman" w:hAnsi="Times New Roman" w:cs="Times New Roman"/>
          <w:sz w:val="24"/>
          <w:szCs w:val="24"/>
        </w:rPr>
      </w:pPr>
      <w:r>
        <w:rPr>
          <w:rFonts w:ascii="Times New Roman" w:hAnsi="Times New Roman" w:cs="Times New Roman"/>
          <w:sz w:val="24"/>
          <w:szCs w:val="24"/>
        </w:rPr>
        <w:t>Section 5 empowers the Governor to grant statutory rights of occupancy over land, demand rent, impose conditions and issue certificates of occupancy. The Governor may also grant easements and other rights which are necessary for the effective use of land. The grant of a statutory right is subject to existing interests. The authority should not allocate land which is already held by another person unless the prior interest has been lawfully revoked.</w:t>
      </w:r>
      <w:r>
        <w:rPr>
          <w:rStyle w:val="22"/>
          <w:rFonts w:ascii="Times New Roman" w:hAnsi="Times New Roman" w:cs="Times New Roman"/>
          <w:sz w:val="24"/>
          <w:szCs w:val="24"/>
        </w:rPr>
        <w:footnoteReference w:id="64"/>
      </w:r>
    </w:p>
    <w:p w14:paraId="3E27F7E3">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Pr>
          <w:rFonts w:ascii="Times New Roman" w:hAnsi="Times New Roman" w:cs="Times New Roman"/>
          <w:b/>
          <w:sz w:val="24"/>
          <w:szCs w:val="24"/>
        </w:rPr>
        <w:tab/>
      </w:r>
      <w:r>
        <w:rPr>
          <w:rFonts w:ascii="Times New Roman" w:hAnsi="Times New Roman" w:cs="Times New Roman"/>
          <w:b/>
          <w:sz w:val="24"/>
          <w:szCs w:val="24"/>
        </w:rPr>
        <w:t>Powers of Local Governments under section 6</w:t>
      </w:r>
    </w:p>
    <w:p w14:paraId="1E5D82A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6 authorises Local Governments to grant customary rights of occupancy over non-urban land for agricultural, residential and other purposes. It also regulates grants for grazing and for agricultural purposes. The provision limits a customary grant to 500 hectares for agriculture and 5,000 hectares for grazing unless the Governor’s consent is obtained. Local Governments may also enter upon, use or occupy non-urban land for public purposes within their areas, subject to the Act and compensation obligations. In </w:t>
      </w:r>
      <w:r>
        <w:rPr>
          <w:rStyle w:val="21"/>
          <w:rFonts w:ascii="Times New Roman" w:hAnsi="Times New Roman" w:cs="Times New Roman"/>
          <w:sz w:val="24"/>
          <w:szCs w:val="24"/>
        </w:rPr>
        <w:t>Falke v Billiri Local Government Council</w:t>
      </w:r>
      <w:r>
        <w:rPr>
          <w:rFonts w:ascii="Times New Roman" w:hAnsi="Times New Roman" w:cs="Times New Roman"/>
          <w:sz w:val="24"/>
          <w:szCs w:val="24"/>
        </w:rPr>
        <w:t>,</w:t>
      </w:r>
      <w:r>
        <w:rPr>
          <w:rStyle w:val="22"/>
          <w:rFonts w:ascii="Times New Roman" w:hAnsi="Times New Roman" w:cs="Times New Roman"/>
          <w:sz w:val="24"/>
          <w:szCs w:val="24"/>
        </w:rPr>
        <w:footnoteReference w:id="65"/>
      </w:r>
      <w:r>
        <w:rPr>
          <w:rFonts w:ascii="Times New Roman" w:hAnsi="Times New Roman" w:cs="Times New Roman"/>
          <w:sz w:val="24"/>
          <w:szCs w:val="24"/>
        </w:rPr>
        <w:t xml:space="preserve"> the claimant asserted family ownership of land that public authorities treated as part of a grazing reserve. The dispute required examination of the lawful basis of governmental control and the competing customary interests. The Court of Appeal emphasised that public authorities must establish a legal acquisition or grant. It should not rely merely on administrative assertion. </w:t>
      </w:r>
    </w:p>
    <w:p w14:paraId="046AFE1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  </w:t>
      </w:r>
      <w:r>
        <w:rPr>
          <w:rFonts w:ascii="Times New Roman" w:hAnsi="Times New Roman" w:cs="Times New Roman"/>
          <w:b/>
          <w:sz w:val="24"/>
          <w:szCs w:val="24"/>
        </w:rPr>
        <w:tab/>
      </w:r>
      <w:r>
        <w:rPr>
          <w:rFonts w:ascii="Times New Roman" w:hAnsi="Times New Roman" w:cs="Times New Roman"/>
          <w:b/>
          <w:sz w:val="24"/>
          <w:szCs w:val="24"/>
        </w:rPr>
        <w:t>Terms and conditions of rights of occupancy</w:t>
      </w:r>
    </w:p>
    <w:p w14:paraId="17A1962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Sections 8–15 regulate the term, conditions, rent and certificates connected with rights of occupancy. The Governor may impose express or implied conditions. A certificate is issued as evidence of the right. The certificate is evidential; it is not conclusive. The issuing authority cannot confer a valid right where the land is already subject to an unrevoked superior interest. In </w:t>
      </w:r>
      <w:r>
        <w:rPr>
          <w:rStyle w:val="21"/>
          <w:rFonts w:ascii="Times New Roman" w:hAnsi="Times New Roman" w:cs="Times New Roman"/>
          <w:sz w:val="24"/>
          <w:szCs w:val="24"/>
        </w:rPr>
        <w:t>Lewis Opara v Dowell Schlumberger Nigeria Ltd</w:t>
      </w:r>
      <w:r>
        <w:rPr>
          <w:rFonts w:ascii="Times New Roman" w:hAnsi="Times New Roman" w:cs="Times New Roman"/>
          <w:sz w:val="24"/>
          <w:szCs w:val="24"/>
        </w:rPr>
        <w:t>,</w:t>
      </w:r>
      <w:r>
        <w:rPr>
          <w:rStyle w:val="22"/>
          <w:rFonts w:ascii="Times New Roman" w:hAnsi="Times New Roman" w:cs="Times New Roman"/>
          <w:sz w:val="24"/>
          <w:szCs w:val="24"/>
        </w:rPr>
        <w:footnoteReference w:id="66"/>
      </w:r>
      <w:r>
        <w:rPr>
          <w:rFonts w:ascii="Times New Roman" w:hAnsi="Times New Roman" w:cs="Times New Roman"/>
          <w:sz w:val="24"/>
          <w:szCs w:val="24"/>
        </w:rPr>
        <w:t xml:space="preserve"> competing claims arose over industrial land for which official title documents had been issued. The Supreme Court considered the parties’ roots of title and the legal authority behind the allocations. This case demonstrates that courts will look beyond the existence of a certificate to determine whether the issuing authority had land available for a lawful grant.</w:t>
      </w:r>
    </w:p>
    <w:p w14:paraId="2D098CE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vi. </w:t>
      </w:r>
      <w:r>
        <w:rPr>
          <w:rFonts w:ascii="Times New Roman" w:hAnsi="Times New Roman" w:cs="Times New Roman"/>
          <w:b/>
          <w:sz w:val="24"/>
          <w:szCs w:val="24"/>
        </w:rPr>
        <w:tab/>
      </w:r>
      <w:r>
        <w:rPr>
          <w:rFonts w:ascii="Times New Roman" w:hAnsi="Times New Roman" w:cs="Times New Roman"/>
          <w:b/>
          <w:sz w:val="24"/>
          <w:szCs w:val="24"/>
        </w:rPr>
        <w:t>Alienation and consent under sections 21–26</w:t>
      </w:r>
    </w:p>
    <w:p w14:paraId="626EC7F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21 regulates the alienation of customary rights of occupancy. Section 22 provides that a holder of a statutory right granted by the Governor must not alienate it by assignment, mortgage, transfer of possession, sublease or otherwise without the Governor’s prior consent. Section 23 permits mortgage or sublease arrangements which is subject to the prescribed approvals. Section 26 declares transactions inconsistent with the Act null and void. In </w:t>
      </w:r>
      <w:r>
        <w:rPr>
          <w:rStyle w:val="21"/>
          <w:rFonts w:ascii="Times New Roman" w:hAnsi="Times New Roman" w:cs="Times New Roman"/>
          <w:sz w:val="24"/>
          <w:szCs w:val="24"/>
        </w:rPr>
        <w:t>Awojugbagbe Light Industries Ltd v Chinukwe</w:t>
      </w:r>
      <w:r>
        <w:rPr>
          <w:rFonts w:ascii="Times New Roman" w:hAnsi="Times New Roman" w:cs="Times New Roman"/>
          <w:sz w:val="24"/>
          <w:szCs w:val="24"/>
        </w:rPr>
        <w:t>,</w:t>
      </w:r>
      <w:r>
        <w:rPr>
          <w:rStyle w:val="22"/>
          <w:rFonts w:ascii="Times New Roman" w:hAnsi="Times New Roman" w:cs="Times New Roman"/>
          <w:sz w:val="24"/>
          <w:szCs w:val="24"/>
        </w:rPr>
        <w:footnoteReference w:id="67"/>
      </w:r>
      <w:r>
        <w:rPr>
          <w:rFonts w:ascii="Times New Roman" w:hAnsi="Times New Roman" w:cs="Times New Roman"/>
          <w:sz w:val="24"/>
          <w:szCs w:val="24"/>
        </w:rPr>
        <w:t xml:space="preserve"> the appellant obtained a loan secured by a mortgage over its property. The mortgage instrument was executed while the Governor’s consent was being processed. When enforcement became necessary, the mortgagor challenged the transaction. The Supreme Court distinguished between an agreement or instrument made subject to consent and a completed alienation intended to operate in defiance of the Act. The Court held that parties may enter an agreement conditional upon obtaining the necessary consent; the statute should not be interpreted to make the application process impossible commercially. The case prevents section 22 from being applied in a self-defeating manner. Nevertheless, the requirement continues to create uncertainty as to regards the precise point at which a transaction becomes an alienation.</w:t>
      </w:r>
    </w:p>
    <w:p w14:paraId="4EF93C78">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vii. </w:t>
      </w:r>
      <w:r>
        <w:rPr>
          <w:rFonts w:ascii="Times New Roman" w:hAnsi="Times New Roman" w:cs="Times New Roman"/>
          <w:b/>
          <w:sz w:val="24"/>
          <w:szCs w:val="24"/>
        </w:rPr>
        <w:tab/>
      </w:r>
      <w:r>
        <w:rPr>
          <w:rFonts w:ascii="Times New Roman" w:hAnsi="Times New Roman" w:cs="Times New Roman"/>
          <w:b/>
          <w:sz w:val="24"/>
          <w:szCs w:val="24"/>
        </w:rPr>
        <w:t>Revocation under section 28</w:t>
      </w:r>
    </w:p>
    <w:p w14:paraId="4A91B23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28 authorises the Governor to revoke a right of occupancy for overriding public interest. The grounds include unlawful alienation, when the government requires the land for public purposes, mining purposes and breach of specified conditions. Revocation must be signified through an authorised public officer and notice must be given to the holder. The title is extinguished upon receipt of a valid notice or on a later date stated in it. In </w:t>
      </w:r>
      <w:r>
        <w:rPr>
          <w:rStyle w:val="21"/>
          <w:rFonts w:ascii="Times New Roman" w:hAnsi="Times New Roman" w:cs="Times New Roman"/>
          <w:sz w:val="24"/>
          <w:szCs w:val="24"/>
        </w:rPr>
        <w:t>Brossette Manufacturing Nigeria Ltd v M/S Ola Ilemobola Ltd</w:t>
      </w:r>
      <w:r>
        <w:rPr>
          <w:rFonts w:ascii="Times New Roman" w:hAnsi="Times New Roman" w:cs="Times New Roman"/>
          <w:sz w:val="24"/>
          <w:szCs w:val="24"/>
        </w:rPr>
        <w:t>,</w:t>
      </w:r>
      <w:r>
        <w:rPr>
          <w:rStyle w:val="22"/>
          <w:rFonts w:ascii="Times New Roman" w:hAnsi="Times New Roman" w:cs="Times New Roman"/>
          <w:sz w:val="24"/>
          <w:szCs w:val="24"/>
        </w:rPr>
        <w:footnoteReference w:id="68"/>
      </w:r>
      <w:r>
        <w:rPr>
          <w:rFonts w:ascii="Times New Roman" w:hAnsi="Times New Roman" w:cs="Times New Roman"/>
          <w:sz w:val="24"/>
          <w:szCs w:val="24"/>
        </w:rPr>
        <w:t xml:space="preserve"> an industrial landholder challenged a purported revocation and reallocation. The Supreme Court examined whether the revocation complied with the Act and whether the land had become available for a subsequent grant. The Court affirmed that revocation powers must be exercised strictly and that the State cannot reallocate land without first extinguishing the existing interest in the prescribed manner. </w:t>
      </w:r>
    </w:p>
    <w:p w14:paraId="526ED4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viii. </w:t>
      </w:r>
      <w:r>
        <w:rPr>
          <w:rFonts w:ascii="Times New Roman" w:hAnsi="Times New Roman" w:cs="Times New Roman"/>
          <w:b/>
          <w:sz w:val="24"/>
          <w:szCs w:val="24"/>
        </w:rPr>
        <w:tab/>
      </w:r>
      <w:r>
        <w:rPr>
          <w:rFonts w:ascii="Times New Roman" w:hAnsi="Times New Roman" w:cs="Times New Roman"/>
          <w:b/>
          <w:sz w:val="24"/>
          <w:szCs w:val="24"/>
        </w:rPr>
        <w:t>Compensation and resettlement under sections 29–33</w:t>
      </w:r>
    </w:p>
    <w:p w14:paraId="00C8E78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29 provides compensation where revocation occurs for specified public purposes. Compensation for land is connected to rent paid. Compensation for buildings and installations is calculated by reference to the cost for replacement subject to depreciation. Crops are valued according to prescribed rates. Section 30 assigns disputes which concerns compensation to the Land Use and Allocation Committee. Sections 32 and 33 contain provisions concern compensation and resettlement. In </w:t>
      </w:r>
      <w:r>
        <w:rPr>
          <w:rStyle w:val="21"/>
          <w:rFonts w:ascii="Times New Roman" w:hAnsi="Times New Roman" w:cs="Times New Roman"/>
          <w:sz w:val="24"/>
          <w:szCs w:val="24"/>
        </w:rPr>
        <w:t>AG-Federation v Sode</w:t>
      </w:r>
      <w:r>
        <w:rPr>
          <w:rFonts w:ascii="Times New Roman" w:hAnsi="Times New Roman" w:cs="Times New Roman"/>
          <w:sz w:val="24"/>
          <w:szCs w:val="24"/>
        </w:rPr>
        <w:t>,</w:t>
      </w:r>
      <w:r>
        <w:rPr>
          <w:rStyle w:val="22"/>
          <w:rFonts w:ascii="Times New Roman" w:hAnsi="Times New Roman" w:cs="Times New Roman"/>
          <w:sz w:val="24"/>
          <w:szCs w:val="24"/>
        </w:rPr>
        <w:footnoteReference w:id="69"/>
      </w:r>
      <w:r>
        <w:rPr>
          <w:rFonts w:ascii="Times New Roman" w:hAnsi="Times New Roman" w:cs="Times New Roman"/>
          <w:sz w:val="24"/>
          <w:szCs w:val="24"/>
        </w:rPr>
        <w:t xml:space="preserve"> the respondents claimed compensation after the government acquired their property. The Supreme Court considered the statutory basis of the acquisition and the limitation as well as the provisions for compensation. The court held that the claims for compensation must be brought within the procedures and periods prescribed by law. </w:t>
      </w:r>
    </w:p>
    <w:p w14:paraId="3667483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ix </w:t>
      </w:r>
      <w:r>
        <w:rPr>
          <w:rFonts w:ascii="Times New Roman" w:hAnsi="Times New Roman" w:cs="Times New Roman"/>
          <w:b/>
          <w:sz w:val="24"/>
          <w:szCs w:val="24"/>
        </w:rPr>
        <w:tab/>
      </w:r>
      <w:r>
        <w:rPr>
          <w:rFonts w:ascii="Times New Roman" w:hAnsi="Times New Roman" w:cs="Times New Roman"/>
          <w:b/>
          <w:sz w:val="24"/>
          <w:szCs w:val="24"/>
        </w:rPr>
        <w:t>Jurisdiction under sections 39 and 41</w:t>
      </w:r>
    </w:p>
    <w:p w14:paraId="334935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39 gives the High Court exclusive original jurisdiction over proceedings which relate to land subject to a statutory right of occupancy granted by the Governor, including questions of title and compensation. Section 41 gives Area Courts, Customary Courts or other courts of jurisdiction over proceedings which concern customary rights of occupancy in non-urban areas. </w:t>
      </w:r>
    </w:p>
    <w:p w14:paraId="1AA88347">
      <w:pPr>
        <w:spacing w:line="480" w:lineRule="auto"/>
        <w:jc w:val="both"/>
        <w:rPr>
          <w:rFonts w:ascii="Times New Roman" w:hAnsi="Times New Roman" w:cs="Times New Roman"/>
          <w:b/>
          <w:sz w:val="24"/>
          <w:szCs w:val="24"/>
        </w:rPr>
      </w:pPr>
      <w:r>
        <w:rPr>
          <w:rFonts w:ascii="Times New Roman" w:hAnsi="Times New Roman" w:cs="Times New Roman"/>
          <w:b/>
          <w:sz w:val="24"/>
          <w:szCs w:val="24"/>
        </w:rPr>
        <w:t>x.</w:t>
      </w:r>
      <w:r>
        <w:rPr>
          <w:rFonts w:ascii="Times New Roman" w:hAnsi="Times New Roman" w:cs="Times New Roman"/>
          <w:b/>
          <w:sz w:val="24"/>
          <w:szCs w:val="24"/>
        </w:rPr>
        <w:tab/>
      </w:r>
      <w:r>
        <w:rPr>
          <w:rFonts w:ascii="Times New Roman" w:hAnsi="Times New Roman" w:cs="Times New Roman"/>
          <w:b/>
          <w:sz w:val="24"/>
          <w:szCs w:val="24"/>
        </w:rPr>
        <w:t>Ouster provision under section 47</w:t>
      </w:r>
    </w:p>
    <w:p w14:paraId="4DC0EAE5">
      <w:pPr>
        <w:spacing w:line="480" w:lineRule="auto"/>
        <w:jc w:val="both"/>
        <w:rPr>
          <w:rFonts w:ascii="Times New Roman" w:hAnsi="Times New Roman" w:cs="Times New Roman"/>
          <w:sz w:val="24"/>
          <w:szCs w:val="24"/>
        </w:rPr>
      </w:pPr>
      <w:r>
        <w:rPr>
          <w:rFonts w:ascii="Times New Roman" w:hAnsi="Times New Roman" w:cs="Times New Roman"/>
          <w:sz w:val="24"/>
          <w:szCs w:val="24"/>
        </w:rPr>
        <w:t>Section 47 seeks to restrict courts from questioning certain acts done under the Act and from inquiring into the amount or adequacy of compensation in specified circumstances. An ouster provision cannot protect conduct that falls outside the authority granted by the Act. It is pointed out that the courts retain the power to determine whether the statutory preconditions for an administrative act were satisfied.</w:t>
      </w:r>
      <w:r>
        <w:rPr>
          <w:rStyle w:val="22"/>
          <w:rFonts w:ascii="Times New Roman" w:hAnsi="Times New Roman" w:cs="Times New Roman"/>
          <w:sz w:val="24"/>
          <w:szCs w:val="24"/>
        </w:rPr>
        <w:footnoteReference w:id="70"/>
      </w:r>
    </w:p>
    <w:p w14:paraId="7D00448E">
      <w:pPr>
        <w:pStyle w:val="3"/>
      </w:pPr>
      <w:bookmarkStart w:id="88" w:name="_Toc232552289"/>
      <w:bookmarkStart w:id="89" w:name="_Toc232552947"/>
      <w:r>
        <w:t>3.2</w:t>
      </w:r>
      <w:r>
        <w:tab/>
      </w:r>
      <w:r>
        <w:t>Other Relevant Legislation</w:t>
      </w:r>
      <w:bookmarkEnd w:id="88"/>
      <w:bookmarkEnd w:id="89"/>
    </w:p>
    <w:p w14:paraId="0E52F4F9">
      <w:pPr>
        <w:pStyle w:val="4"/>
      </w:pPr>
      <w:bookmarkStart w:id="90" w:name="_Toc232552948"/>
      <w:bookmarkStart w:id="91" w:name="_Toc232552290"/>
      <w:r>
        <w:t xml:space="preserve">3.2.1 </w:t>
      </w:r>
      <w:r>
        <w:tab/>
      </w:r>
      <w:r>
        <w:t>State Land-registration Laws</w:t>
      </w:r>
      <w:bookmarkEnd w:id="90"/>
      <w:bookmarkEnd w:id="91"/>
    </w:p>
    <w:p w14:paraId="1F8CB1D3">
      <w:pPr>
        <w:pStyle w:val="10"/>
        <w:spacing w:line="480" w:lineRule="auto"/>
        <w:jc w:val="both"/>
        <w:rPr>
          <w:lang w:val="en-GB"/>
        </w:rPr>
      </w:pPr>
      <w:r>
        <w:rPr>
          <w:lang w:val="en-GB"/>
        </w:rPr>
        <w:t>Registration of land instruments is governed by state legislation. These laws establish registries, identify registrable instruments, prescribe forms and fees, and regulate searches and public notice of transactions. A prominent example is the Lagos State Lands Registration Law 2015.</w:t>
      </w:r>
      <w:r>
        <w:rPr>
          <w:rStyle w:val="22"/>
          <w:lang w:val="en-GB"/>
        </w:rPr>
        <w:footnoteReference w:id="71"/>
      </w:r>
      <w:r>
        <w:rPr>
          <w:lang w:val="en-GB"/>
        </w:rPr>
        <w:t xml:space="preserve"> It creates a more unified system for the registration of land titles and transactions in Lagos State. The law complements the LUA but it does not replace the requirements for consent imposed by the federal enactment. </w:t>
      </w:r>
    </w:p>
    <w:p w14:paraId="738EBC6C">
      <w:pPr>
        <w:pStyle w:val="4"/>
      </w:pPr>
      <w:bookmarkStart w:id="92" w:name="_Toc232552949"/>
      <w:bookmarkStart w:id="93" w:name="_Toc232552291"/>
      <w:r>
        <w:t xml:space="preserve">3.2.2 </w:t>
      </w:r>
      <w:r>
        <w:tab/>
      </w:r>
      <w:r>
        <w:t>Laws for Registration of Titles</w:t>
      </w:r>
      <w:bookmarkEnd w:id="92"/>
      <w:bookmarkEnd w:id="93"/>
    </w:p>
    <w:p w14:paraId="45DF7418">
      <w:pPr>
        <w:pStyle w:val="10"/>
        <w:spacing w:line="480" w:lineRule="auto"/>
        <w:jc w:val="both"/>
        <w:rPr>
          <w:lang w:val="en-GB"/>
        </w:rPr>
      </w:pPr>
      <w:r>
        <w:rPr>
          <w:lang w:val="en-GB"/>
        </w:rPr>
        <w:t>Registration of title differs from registration of instruments. Under the registration of title, the register is intended to record the recognised ownership or interest itself. Under deeds or registration of instruments, the registry records the document but it may not guarantee the underlying validity of the transaction. Historically, registration of Titles Laws applied to designated registration districts. They reduce investigating historical title repeatedly. It creates an authoritative register. However, incomplete coverage and coexistence with customary and documentary titles have limited their effectiveness nationally. The Lagos State Lands Registration Law sought to harmonise aspects of the fragmented registration systems.</w:t>
      </w:r>
      <w:r>
        <w:rPr>
          <w:rStyle w:val="22"/>
          <w:lang w:val="en-GB"/>
        </w:rPr>
        <w:footnoteReference w:id="72"/>
      </w:r>
      <w:r>
        <w:rPr>
          <w:lang w:val="en-GB"/>
        </w:rPr>
        <w:t xml:space="preserve"> Nevertheless, scholars</w:t>
      </w:r>
      <w:r>
        <w:rPr>
          <w:rStyle w:val="22"/>
          <w:lang w:val="en-GB"/>
        </w:rPr>
        <w:footnoteReference w:id="73"/>
      </w:r>
      <w:r>
        <w:rPr>
          <w:lang w:val="en-GB"/>
        </w:rPr>
        <w:t xml:space="preserve"> indicate that there are challenges and thes include implementation, public awareness, cost and interaction with the LUA.</w:t>
      </w:r>
    </w:p>
    <w:p w14:paraId="2875961C">
      <w:pPr>
        <w:pStyle w:val="4"/>
      </w:pPr>
      <w:bookmarkStart w:id="94" w:name="_Toc232552292"/>
      <w:bookmarkStart w:id="95" w:name="_Toc232552950"/>
      <w:r>
        <w:t xml:space="preserve">3.2.3 </w:t>
      </w:r>
      <w:r>
        <w:tab/>
      </w:r>
      <w:r>
        <w:t>Laws for Land Instruments Registration</w:t>
      </w:r>
      <w:bookmarkEnd w:id="94"/>
      <w:bookmarkEnd w:id="95"/>
    </w:p>
    <w:p w14:paraId="420C7E66">
      <w:pPr>
        <w:pStyle w:val="10"/>
        <w:spacing w:line="480" w:lineRule="auto"/>
        <w:jc w:val="both"/>
        <w:rPr>
          <w:lang w:val="en-GB"/>
        </w:rPr>
      </w:pPr>
      <w:r>
        <w:rPr>
          <w:lang w:val="en-GB"/>
        </w:rPr>
        <w:t>This operates in many states and requires instruments which affect land to be registered. A registrable instrument includes a deed of assignment, mortgage, lease, sublease or other document which create or transfer an interest. Registration provides public notice and establishes priority among competing registrable instruments. However, registration does not validate a transaction that was void substantively. If the transferor had no title, registration cannot create one. Similarly, registering a deed does not substitute for Governor’s consent where the Act requires consent.</w:t>
      </w:r>
    </w:p>
    <w:p w14:paraId="7459DACE">
      <w:pPr>
        <w:pStyle w:val="4"/>
      </w:pPr>
      <w:bookmarkStart w:id="96" w:name="_Toc232552951"/>
      <w:bookmarkStart w:id="97" w:name="_Toc232552293"/>
      <w:r>
        <w:t xml:space="preserve">3.2.4 </w:t>
      </w:r>
      <w:r>
        <w:tab/>
      </w:r>
      <w:r>
        <w:t>Laws for Urban and Regional Planning</w:t>
      </w:r>
      <w:bookmarkEnd w:id="96"/>
      <w:bookmarkEnd w:id="97"/>
    </w:p>
    <w:p w14:paraId="362C032D">
      <w:pPr>
        <w:pStyle w:val="10"/>
        <w:spacing w:line="480" w:lineRule="auto"/>
        <w:jc w:val="both"/>
        <w:rPr>
          <w:lang w:val="en-GB"/>
        </w:rPr>
      </w:pPr>
      <w:r>
        <w:rPr>
          <w:lang w:val="en-GB"/>
        </w:rPr>
        <w:t xml:space="preserve">This regulates the manner in which land may be developed. They address development plans, zoning, building approvals, development control, enforcement and demolition of unlawful structures. The Nigerian Urban and Regional Planning Act 1992 sought to establish a national framework and distribute the responsibilities for planning among federal, state and Local Government authorities. It created planning bodies, development-control departments and tribunals. In </w:t>
      </w:r>
      <w:r>
        <w:rPr>
          <w:rStyle w:val="21"/>
          <w:lang w:val="en-GB"/>
        </w:rPr>
        <w:t>AG Lagos State v AG Federation</w:t>
      </w:r>
      <w:r>
        <w:rPr>
          <w:lang w:val="en-GB"/>
        </w:rPr>
        <w:t>,</w:t>
      </w:r>
      <w:r>
        <w:rPr>
          <w:rStyle w:val="22"/>
          <w:lang w:val="en-GB"/>
        </w:rPr>
        <w:footnoteReference w:id="74"/>
      </w:r>
      <w:r>
        <w:rPr>
          <w:lang w:val="en-GB"/>
        </w:rPr>
        <w:t xml:space="preserve"> Lagos State challenged the Federal Government’s issuance of planning permits and approvals within Lagos without the participation of state planning authorities. The Supreme Court held that urban and regional planning is a residual matter within state legislative competence, except in relation to the Federal Capital Territory and land or institutions controlled by the Federation. </w:t>
      </w:r>
    </w:p>
    <w:p w14:paraId="5182B661">
      <w:pPr>
        <w:pStyle w:val="3"/>
      </w:pPr>
      <w:bookmarkStart w:id="98" w:name="_Toc232552294"/>
      <w:bookmarkStart w:id="99" w:name="_Toc232552952"/>
      <w:r>
        <w:t>3.3</w:t>
      </w:r>
      <w:r>
        <w:tab/>
      </w:r>
      <w:r>
        <w:t>Institutional Framework</w:t>
      </w:r>
      <w:bookmarkEnd w:id="98"/>
      <w:bookmarkEnd w:id="99"/>
    </w:p>
    <w:p w14:paraId="1E9B89B2">
      <w:pPr>
        <w:pStyle w:val="4"/>
      </w:pPr>
      <w:bookmarkStart w:id="100" w:name="_Toc232552295"/>
      <w:bookmarkStart w:id="101" w:name="_Toc232552953"/>
      <w:r>
        <w:t xml:space="preserve">3.3.1 </w:t>
      </w:r>
      <w:r>
        <w:tab/>
      </w:r>
      <w:r>
        <w:t>State Governors</w:t>
      </w:r>
      <w:bookmarkEnd w:id="100"/>
      <w:bookmarkEnd w:id="101"/>
    </w:p>
    <w:p w14:paraId="4FFE3F10">
      <w:pPr>
        <w:pStyle w:val="10"/>
        <w:spacing w:line="480" w:lineRule="auto"/>
        <w:jc w:val="both"/>
        <w:rPr>
          <w:lang w:val="en-GB"/>
        </w:rPr>
      </w:pPr>
      <w:r>
        <w:rPr>
          <w:lang w:val="en-GB"/>
        </w:rPr>
        <w:t>The Governor is the central institution under the LUA. The Governor controls urban land, grants statutory rights of occupancy, determines rents, approves alienation and exercises revocation powers. The Governor also designates urban areas under section 3 and appoints members of the Land Use and Allocation Committee. Indeed, ministries and land registries process applications. However, major decisions are exercised in the Governor’s name or under delegated authority. Consequently, administration depends on transparency, delegation, reliable records and judicial supervision.</w:t>
      </w:r>
    </w:p>
    <w:p w14:paraId="67C63B00">
      <w:pPr>
        <w:pStyle w:val="4"/>
      </w:pPr>
      <w:bookmarkStart w:id="102" w:name="_Toc232552954"/>
      <w:bookmarkStart w:id="103" w:name="_Toc232552296"/>
      <w:r>
        <w:t xml:space="preserve">3.3.2 </w:t>
      </w:r>
      <w:r>
        <w:tab/>
      </w:r>
      <w:r>
        <w:t>Local Governments</w:t>
      </w:r>
      <w:bookmarkEnd w:id="102"/>
      <w:bookmarkEnd w:id="103"/>
    </w:p>
    <w:p w14:paraId="3AD2684F">
      <w:pPr>
        <w:pStyle w:val="10"/>
        <w:spacing w:line="480" w:lineRule="auto"/>
        <w:jc w:val="both"/>
        <w:rPr>
          <w:lang w:val="en-GB"/>
        </w:rPr>
      </w:pPr>
      <w:r>
        <w:rPr>
          <w:lang w:val="en-GB"/>
        </w:rPr>
        <w:t>Local Governments administer non-urban land under section 2 and they may grant customary rights of occupancy under section 6. Their functions are important for agriculture, grazing, residential development and the use of rural land. They establish Land Allocation Advisory Committees and they also acquire land required for local public purposes. However, their effectiveness varies because many Local Governments lack survey departments, digital records, trained land officers and adequate funding. Hence, the act assumes an institutional capacity that may not exist uniformly across Nigeria.</w:t>
      </w:r>
    </w:p>
    <w:p w14:paraId="34F87B76">
      <w:pPr>
        <w:pStyle w:val="4"/>
      </w:pPr>
      <w:bookmarkStart w:id="104" w:name="_Toc232552955"/>
      <w:bookmarkStart w:id="105" w:name="_Toc232552297"/>
      <w:r>
        <w:t xml:space="preserve">3.3.3 </w:t>
      </w:r>
      <w:r>
        <w:tab/>
      </w:r>
      <w:r>
        <w:t>Land Use and Allocation Committees</w:t>
      </w:r>
      <w:bookmarkEnd w:id="104"/>
      <w:bookmarkEnd w:id="105"/>
    </w:p>
    <w:p w14:paraId="3BA532C3">
      <w:pPr>
        <w:pStyle w:val="10"/>
        <w:spacing w:line="480" w:lineRule="auto"/>
        <w:jc w:val="both"/>
        <w:rPr>
          <w:lang w:val="en-GB"/>
        </w:rPr>
      </w:pPr>
      <w:r>
        <w:rPr>
          <w:lang w:val="en-GB"/>
        </w:rPr>
        <w:t>Section 2 requires each state to establish a Land Use and Allocation Committee. The committee advises the Governor on the management of urban land, resettlement, revocation and compensation. Its members are appointed by the Governor and they are expected to include persons with relevant qualifications or experience. This includes law and land administration. The committee’s role is advisory and not decisional. The body is important but it does not constitute an independent regulator. This becomes significant where it advises the Governor on disputes about compensation which arises from acquisition carried out under executive authority.</w:t>
      </w:r>
    </w:p>
    <w:p w14:paraId="4B9934F6">
      <w:pPr>
        <w:pStyle w:val="4"/>
      </w:pPr>
      <w:bookmarkStart w:id="106" w:name="_Toc232552956"/>
      <w:bookmarkStart w:id="107" w:name="_Toc232552298"/>
      <w:r>
        <w:t xml:space="preserve">3.3.4 </w:t>
      </w:r>
      <w:r>
        <w:tab/>
      </w:r>
      <w:r>
        <w:t>Land Allocation Advisory Committees</w:t>
      </w:r>
      <w:bookmarkEnd w:id="106"/>
      <w:bookmarkEnd w:id="107"/>
    </w:p>
    <w:p w14:paraId="4F919E34">
      <w:pPr>
        <w:pStyle w:val="10"/>
        <w:spacing w:line="480" w:lineRule="auto"/>
        <w:jc w:val="both"/>
        <w:rPr>
          <w:lang w:val="en-GB"/>
        </w:rPr>
      </w:pPr>
      <w:r>
        <w:rPr>
          <w:lang w:val="en-GB"/>
        </w:rPr>
        <w:t>The Act permits each Local Government to establish a Land Allocation Advisory Committee to advise on the management of non-urban land.</w:t>
      </w:r>
      <w:r>
        <w:rPr>
          <w:rStyle w:val="22"/>
          <w:lang w:val="en-GB"/>
        </w:rPr>
        <w:footnoteReference w:id="75"/>
      </w:r>
      <w:r>
        <w:rPr>
          <w:lang w:val="en-GB"/>
        </w:rPr>
        <w:t xml:space="preserve"> The committee should assist with applying for customary rights, identifying existing interests, rural allocation and resolving competing local claims.</w:t>
      </w:r>
      <w:r>
        <w:rPr>
          <w:rStyle w:val="22"/>
          <w:lang w:val="en-GB"/>
        </w:rPr>
        <w:footnoteReference w:id="76"/>
      </w:r>
      <w:r>
        <w:rPr>
          <w:lang w:val="en-GB"/>
        </w:rPr>
        <w:t xml:space="preserve"> Scholars pointed out there is need to include persons who understand customary tenure and community boundaries in order for this institution to be effective.</w:t>
      </w:r>
      <w:r>
        <w:rPr>
          <w:rStyle w:val="22"/>
          <w:lang w:val="en-GB"/>
        </w:rPr>
        <w:footnoteReference w:id="77"/>
      </w:r>
      <w:r>
        <w:rPr>
          <w:lang w:val="en-GB"/>
        </w:rPr>
        <w:t xml:space="preserve"> The Act provides little detail concerning independence, procedure, public participation and reporting. Consequently, the operation of these committees differs considerably.</w:t>
      </w:r>
    </w:p>
    <w:p w14:paraId="206F0CC1">
      <w:pPr>
        <w:pStyle w:val="4"/>
      </w:pPr>
      <w:bookmarkStart w:id="108" w:name="_Toc232552299"/>
      <w:bookmarkStart w:id="109" w:name="_Toc232552957"/>
      <w:r>
        <w:t xml:space="preserve">3.3.5 </w:t>
      </w:r>
      <w:r>
        <w:tab/>
      </w:r>
      <w:r>
        <w:t>Ministries of Lands</w:t>
      </w:r>
      <w:bookmarkEnd w:id="108"/>
      <w:bookmarkEnd w:id="109"/>
    </w:p>
    <w:p w14:paraId="5F49161D">
      <w:pPr>
        <w:pStyle w:val="10"/>
        <w:spacing w:line="480" w:lineRule="auto"/>
        <w:jc w:val="both"/>
        <w:rPr>
          <w:lang w:val="en-GB"/>
        </w:rPr>
      </w:pPr>
      <w:r>
        <w:rPr>
          <w:lang w:val="en-GB"/>
        </w:rPr>
        <w:t>State Ministries of Lands or equivalent agencies undertake the administrative work which is necessary for implementing the Governor’s powers.</w:t>
      </w:r>
      <w:r>
        <w:rPr>
          <w:rStyle w:val="22"/>
          <w:lang w:val="en-GB"/>
        </w:rPr>
        <w:footnoteReference w:id="78"/>
      </w:r>
      <w:r>
        <w:rPr>
          <w:lang w:val="en-GB"/>
        </w:rPr>
        <w:t xml:space="preserve"> Their functions include processing the applications for statutory rights, consent and regularisation; preparing certificates; assessing rent and charges; maintaining allocation files; coordinating surveys; and advising government on acquisition. Indeed, the Act refers to the Governor principally. However, in recent times, land administration is carried out through these ministries and specialised agencies. Their internal procedures determine whether statutory rights are accessible in practice. Ministries also coordinate with planning agencies, surveyors-general, valuation departments and legal offices. However, when coordination is poor, there would be conflicting allocations, delayed consent or certificates which are issued without accurate verification for survey.</w:t>
      </w:r>
      <w:r>
        <w:rPr>
          <w:rStyle w:val="22"/>
          <w:lang w:val="en-GB"/>
        </w:rPr>
        <w:footnoteReference w:id="79"/>
      </w:r>
    </w:p>
    <w:p w14:paraId="11E233C0">
      <w:pPr>
        <w:pStyle w:val="4"/>
      </w:pPr>
      <w:bookmarkStart w:id="110" w:name="_Toc232552300"/>
      <w:bookmarkStart w:id="111" w:name="_Toc232552958"/>
      <w:r>
        <w:t xml:space="preserve">3.3.6 </w:t>
      </w:r>
      <w:r>
        <w:tab/>
      </w:r>
      <w:r>
        <w:t>Land Registries</w:t>
      </w:r>
      <w:bookmarkEnd w:id="110"/>
      <w:bookmarkEnd w:id="111"/>
    </w:p>
    <w:p w14:paraId="2DE7FEBB">
      <w:pPr>
        <w:pStyle w:val="10"/>
        <w:spacing w:line="480" w:lineRule="auto"/>
        <w:jc w:val="both"/>
        <w:rPr>
          <w:lang w:val="en-GB"/>
        </w:rPr>
      </w:pPr>
      <w:r>
        <w:rPr>
          <w:lang w:val="en-GB"/>
        </w:rPr>
        <w:t>Land registries maintain records of registered titles and instruments. Their functions include receiving documents, conducting searches, registering deeds and mortgages, recording encumbrances and providing certified copies. A registry promotes notice and the security of transactions. However, it is not a substitute for investigating title where the system is based on registration of instruments. Registration may establish priority without guaranteeing that the transferor had a valid interest. Crucially, scholars indicate digitisation is important for preventing alteration, loss and duplication of records.</w:t>
      </w:r>
      <w:r>
        <w:rPr>
          <w:rStyle w:val="22"/>
          <w:lang w:val="en-GB"/>
        </w:rPr>
        <w:footnoteReference w:id="80"/>
      </w:r>
      <w:r>
        <w:rPr>
          <w:lang w:val="en-GB"/>
        </w:rPr>
        <w:t xml:space="preserve"> The electronic land initiatives in Lagos replaces fragmented paper files with searchable digital archives and online processing.</w:t>
      </w:r>
      <w:r>
        <w:rPr>
          <w:rStyle w:val="22"/>
          <w:lang w:val="en-GB"/>
        </w:rPr>
        <w:footnoteReference w:id="81"/>
      </w:r>
    </w:p>
    <w:p w14:paraId="38240554">
      <w:pPr>
        <w:pStyle w:val="4"/>
      </w:pPr>
      <w:bookmarkStart w:id="112" w:name="_Toc232552301"/>
      <w:bookmarkStart w:id="113" w:name="_Toc232552959"/>
      <w:r>
        <w:t>3.3.7</w:t>
      </w:r>
      <w:r>
        <w:tab/>
      </w:r>
      <w:r>
        <w:t xml:space="preserve"> The Courts</w:t>
      </w:r>
      <w:bookmarkEnd w:id="112"/>
      <w:bookmarkEnd w:id="113"/>
    </w:p>
    <w:p w14:paraId="58ED4699">
      <w:pPr>
        <w:pStyle w:val="10"/>
        <w:spacing w:line="480" w:lineRule="auto"/>
        <w:jc w:val="both"/>
        <w:rPr>
          <w:lang w:val="en-GB"/>
        </w:rPr>
      </w:pPr>
      <w:r>
        <w:rPr>
          <w:lang w:val="en-GB"/>
        </w:rPr>
        <w:t>The courts interpret the Constitution, the LUA and state legislation.</w:t>
      </w:r>
      <w:r>
        <w:rPr>
          <w:rStyle w:val="22"/>
          <w:lang w:val="en-GB"/>
        </w:rPr>
        <w:footnoteReference w:id="82"/>
      </w:r>
      <w:r>
        <w:rPr>
          <w:lang w:val="en-GB"/>
        </w:rPr>
        <w:t xml:space="preserve"> They determine title disputes, review revocations, enforce consent requirements, interpret deemed rights and decide whether administrative authorities have acted within their powers.</w:t>
      </w:r>
      <w:r>
        <w:rPr>
          <w:rStyle w:val="22"/>
          <w:lang w:val="en-GB"/>
        </w:rPr>
        <w:footnoteReference w:id="83"/>
      </w:r>
      <w:r>
        <w:rPr>
          <w:lang w:val="en-GB"/>
        </w:rPr>
        <w:t xml:space="preserve"> The High Courts exercise jurisdiction under section 39 in relation to statutory rights and other matters within their constitutional jurisdiction. Customary and Area Courts exercise jurisdiction over customary rights and rural land disputes, subject to the relevant state laws and appellate structure. Judicial review is important because the Act grants extensive discretion to executive authorities. Courts may examine whether the correct authority acted, whether notice was served, whether a public purpose existed, whether a prior interest was extinguished and whether the parties complied with requirements for consent in the statute. However, the courts do not replace institutions for land-administration. Judicial proceedings are reactive and depend upon an aggrieved person possessing the means to litigate.</w:t>
      </w:r>
      <w:r>
        <w:rPr>
          <w:rStyle w:val="22"/>
          <w:lang w:val="en-GB"/>
        </w:rPr>
        <w:footnoteReference w:id="84"/>
      </w:r>
    </w:p>
    <w:p w14:paraId="21BA48AE">
      <w:pPr>
        <w:spacing w:line="480" w:lineRule="auto"/>
        <w:jc w:val="both"/>
        <w:rPr>
          <w:rFonts w:ascii="Times New Roman" w:hAnsi="Times New Roman" w:eastAsia="Times New Roman" w:cs="Times New Roman"/>
          <w:sz w:val="24"/>
          <w:szCs w:val="24"/>
        </w:rPr>
      </w:pPr>
    </w:p>
    <w:p w14:paraId="028300AC">
      <w:pPr>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14:paraId="76BD8891">
      <w:pPr>
        <w:pStyle w:val="2"/>
      </w:pPr>
      <w:bookmarkStart w:id="114" w:name="_Toc232552960"/>
      <w:bookmarkStart w:id="115" w:name="_Toc232552302"/>
      <w:r>
        <w:t>CHAPTER FOUR</w:t>
      </w:r>
      <w:bookmarkEnd w:id="114"/>
      <w:bookmarkEnd w:id="115"/>
    </w:p>
    <w:p w14:paraId="602D2AD2">
      <w:pPr>
        <w:pStyle w:val="2"/>
      </w:pPr>
      <w:bookmarkStart w:id="116" w:name="_Toc232552303"/>
      <w:bookmarkStart w:id="117" w:name="_Toc232552961"/>
      <w:r>
        <w:t>CHALLENGES IN THE OPERATION OF THE LAND USE ACT</w:t>
      </w:r>
      <w:bookmarkEnd w:id="116"/>
      <w:bookmarkEnd w:id="117"/>
    </w:p>
    <w:p w14:paraId="3FD0ACB4">
      <w:pPr>
        <w:pStyle w:val="10"/>
        <w:spacing w:line="480" w:lineRule="auto"/>
        <w:jc w:val="both"/>
        <w:rPr>
          <w:lang w:val="en-GB"/>
        </w:rPr>
      </w:pPr>
      <w:r>
        <w:rPr>
          <w:lang w:val="en-GB"/>
        </w:rPr>
        <w:t>This chapter critically examines the defects in the operation of the Act. Hence, it establishes the basis for legislative and institutional reform.</w:t>
      </w:r>
    </w:p>
    <w:p w14:paraId="437E5D3E">
      <w:pPr>
        <w:pStyle w:val="3"/>
      </w:pPr>
      <w:bookmarkStart w:id="118" w:name="_Toc232552962"/>
      <w:bookmarkStart w:id="119" w:name="_Toc232552304"/>
      <w:r>
        <w:t xml:space="preserve">4.1 </w:t>
      </w:r>
      <w:r>
        <w:tab/>
      </w:r>
      <w:r>
        <w:t>Excessive Concentration of Powers in State Governors</w:t>
      </w:r>
      <w:bookmarkEnd w:id="118"/>
      <w:bookmarkEnd w:id="119"/>
    </w:p>
    <w:p w14:paraId="61CBE3EB">
      <w:pPr>
        <w:pStyle w:val="10"/>
        <w:spacing w:line="480" w:lineRule="auto"/>
        <w:jc w:val="both"/>
        <w:rPr>
          <w:lang w:val="en-GB"/>
        </w:rPr>
      </w:pPr>
      <w:r>
        <w:rPr>
          <w:lang w:val="en-GB"/>
        </w:rPr>
        <w:t>The Act concentrates the powers for the administration of land in the Governor excessively. Section 1 vests land within each state, apart from land ‘vested in the Federal Government or its agencies, in the Governor to be held in trust and administered for the use and common benefit of Nigerians.’ Section 3 empowers the Governor to designate parts of the state as urban areas. Section 5 authorises the Governor to grant statutory rights of occupancy, impose conditions, demand rent and issue certificates of occupancy. Section 22 places the alienation of statutory rights under gubernatorial control. Section 28 empowers the Governor ‘to revoke rights of occupancy for overriding public interest.’ Indeed, administrative functions are performed through Ministries of Lands and related agencies. However, the statutory authority remains concentrated in the Governor. There is no independent land commission with binding supervisory powers over the Governor’s decisions.</w:t>
      </w:r>
    </w:p>
    <w:p w14:paraId="65F3AAC0">
      <w:pPr>
        <w:pStyle w:val="10"/>
        <w:spacing w:line="480" w:lineRule="auto"/>
        <w:jc w:val="both"/>
        <w:rPr>
          <w:lang w:val="en-GB"/>
        </w:rPr>
      </w:pPr>
      <w:r>
        <w:rPr>
          <w:lang w:val="en-GB"/>
        </w:rPr>
        <w:t>The use of the word “trust” in section 1 suggests that the Governor should exercise these powers for the public benefit. Nevertheless, the Act does not state the fiduciary obligations which arise from the trust or establish procedures by which citizens may require the Governor to account for allocations. The Governor is described as a trustee.</w:t>
      </w:r>
      <w:r>
        <w:rPr>
          <w:rStyle w:val="22"/>
          <w:lang w:val="en-GB"/>
        </w:rPr>
        <w:footnoteReference w:id="85"/>
      </w:r>
      <w:r>
        <w:rPr>
          <w:lang w:val="en-GB"/>
        </w:rPr>
        <w:t xml:space="preserve"> However, this lacks many of the safeguards associated with an ordinary trust. A trustee should not have an unrestricted capacity to dispose of trust property according to personal or political preference. In private law, trustees owe duties of good faith, impartiality, proper purpose and accountability. However, under the Act, persons for whose land are held cannot demand allocation, inspect all decisions for allocation or enforce an equal distribution of land.</w:t>
      </w:r>
      <w:r>
        <w:rPr>
          <w:rStyle w:val="22"/>
          <w:lang w:val="en-GB"/>
        </w:rPr>
        <w:footnoteReference w:id="86"/>
      </w:r>
      <w:r>
        <w:rPr>
          <w:lang w:val="en-GB"/>
        </w:rPr>
        <w:t xml:space="preserve"> Therefore, the trust in this act may operate more as a declaration of policy, not a fiduciary relationship.</w:t>
      </w:r>
    </w:p>
    <w:p w14:paraId="4FEA75AB">
      <w:pPr>
        <w:pStyle w:val="10"/>
        <w:spacing w:line="480" w:lineRule="auto"/>
        <w:jc w:val="both"/>
        <w:rPr>
          <w:lang w:val="en-GB"/>
        </w:rPr>
      </w:pPr>
      <w:r>
        <w:rPr>
          <w:lang w:val="en-GB"/>
        </w:rPr>
        <w:t xml:space="preserve">In </w:t>
      </w:r>
      <w:r>
        <w:rPr>
          <w:rStyle w:val="21"/>
          <w:lang w:val="en-GB"/>
        </w:rPr>
        <w:t>Nkwocha v Governor of Anambra State</w:t>
      </w:r>
      <w:r>
        <w:rPr>
          <w:lang w:val="en-GB"/>
        </w:rPr>
        <w:t>,</w:t>
      </w:r>
      <w:r>
        <w:rPr>
          <w:rStyle w:val="22"/>
          <w:lang w:val="en-GB"/>
        </w:rPr>
        <w:footnoteReference w:id="87"/>
      </w:r>
      <w:r>
        <w:rPr>
          <w:lang w:val="en-GB"/>
        </w:rPr>
        <w:t xml:space="preserve"> a dispute arose after the government assumed control over land under the new statutory regime. The Court recognised the extensive change introduced by the Act and the role assigned to Governors in land administration. However, the court held that the act did not abolish every existing interest. Its operation subjected landholding to governmental control.  Section 3 creates a related problem as it allows the Governor to designate land as urban without establishing national criteria for doing so. Because the criteria are not uniform, different states to adopt inconsistent approaches.  The Act does not require public participation before such designation. It also does not provide a direct procedure through which affected communities may object to reclassification.</w:t>
      </w:r>
      <w:r>
        <w:rPr>
          <w:rStyle w:val="22"/>
          <w:lang w:val="en-GB"/>
        </w:rPr>
        <w:footnoteReference w:id="88"/>
      </w:r>
      <w:r>
        <w:rPr>
          <w:lang w:val="en-GB"/>
        </w:rPr>
        <w:t xml:space="preserve"> This is inconsistent with principles of accountable governance of land, under which decisions which affect tenure, planning and community livelihoods should be based on criteria which are published and meaningful consultation.</w:t>
      </w:r>
    </w:p>
    <w:p w14:paraId="70B10CDE">
      <w:pPr>
        <w:pStyle w:val="10"/>
        <w:spacing w:line="480" w:lineRule="auto"/>
        <w:jc w:val="both"/>
        <w:rPr>
          <w:lang w:val="en-GB"/>
        </w:rPr>
      </w:pPr>
      <w:r>
        <w:rPr>
          <w:lang w:val="en-GB"/>
        </w:rPr>
        <w:t>Recent events in the Federal Capital Territory illustrate the effect when control is concentrated on the executive excessively. The FCT Minister performs functions analogous to those of a Governor under the applicable framework. In March 2025, the FCT Administration announced the revocation of thousands of land titles over unpaid ground rent. Further actions for enforcement and revocations were announced later in 2025.</w:t>
      </w:r>
      <w:r>
        <w:rPr>
          <w:rStyle w:val="22"/>
          <w:lang w:val="en-GB"/>
        </w:rPr>
        <w:footnoteReference w:id="89"/>
      </w:r>
      <w:r>
        <w:rPr>
          <w:lang w:val="en-GB"/>
        </w:rPr>
        <w:t xml:space="preserve"> These actions demonstrate the scale upon which a single executive land authority may affect proprietary interests through administrative decisions. The issue is not whether rent obligations may be enforced lawfully. Rather, it is whether mass revocation is proportionate, fair and subject to independent review. Therefore, the concentration of power is defective for three reasons. It weakens the separation between allocation, regulation and deprivation; it increases political interference; and it limits oversight which is independent</w:t>
      </w:r>
    </w:p>
    <w:p w14:paraId="53478221">
      <w:pPr>
        <w:pStyle w:val="3"/>
      </w:pPr>
      <w:bookmarkStart w:id="120" w:name="_Toc232552963"/>
      <w:bookmarkStart w:id="121" w:name="_Toc232552305"/>
      <w:r>
        <w:t xml:space="preserve">4.2 </w:t>
      </w:r>
      <w:r>
        <w:tab/>
      </w:r>
      <w:r>
        <w:t>Uncertainty over the Meaning and Effect of Vesting</w:t>
      </w:r>
      <w:bookmarkEnd w:id="120"/>
      <w:bookmarkEnd w:id="121"/>
    </w:p>
    <w:p w14:paraId="795811F6">
      <w:pPr>
        <w:pStyle w:val="10"/>
        <w:spacing w:line="480" w:lineRule="auto"/>
        <w:jc w:val="both"/>
        <w:rPr>
          <w:lang w:val="en-GB"/>
        </w:rPr>
      </w:pPr>
      <w:r>
        <w:rPr>
          <w:lang w:val="en-GB"/>
        </w:rPr>
        <w:t>Section 1 states that all land within each state is vested in the Governor. However, the Act does not define what “vesting” means. It is unclear from the language alone whether the provision transfers absolute ownership to the Governor, confers radical title, places only management and control in the Governor, converts prior ownership into rights of occupancy or preserves customary ownership subject to statutory regulation. This is aggravated by sections 34 and 36. Section 34 preserves qualifying interests in urban land as deemed statutory rights of occupancy. Section 36 preserves lawful occupation or use of non-urban land as deemed customary rights of occupancy. If section 1 had confiscated every pre-existing proprietary interest and transferred full beneficial ownership to the Governor, there would have been little conceptual basis for preserving such interests as rights arising by operation of law. Therefore, section 34 and 36 indicate that vesting was not intended to produce wholesale expropriation.</w:t>
      </w:r>
    </w:p>
    <w:p w14:paraId="42B612BD">
      <w:pPr>
        <w:pStyle w:val="10"/>
        <w:spacing w:line="480" w:lineRule="auto"/>
        <w:jc w:val="both"/>
        <w:rPr>
          <w:lang w:val="en-GB"/>
        </w:rPr>
      </w:pPr>
      <w:r>
        <w:rPr>
          <w:lang w:val="en-GB"/>
        </w:rPr>
        <w:t>Nevertheless, the statutory language creates tension. On one hand, the Governor appears to receive extensive control over land. On the other, the Governor is said to hold the land in trust, not for personal or beneficial ownership.</w:t>
      </w:r>
      <w:r>
        <w:rPr>
          <w:rStyle w:val="22"/>
          <w:lang w:val="en-GB"/>
        </w:rPr>
        <w:footnoteReference w:id="90"/>
      </w:r>
      <w:r>
        <w:rPr>
          <w:lang w:val="en-GB"/>
        </w:rPr>
        <w:t xml:space="preserve"> Furthermore, existing landholders continue to possess enforceable interests. The Act does not reconcile these elements clearly. The Supreme Court addressed this uncertainty in </w:t>
      </w:r>
      <w:r>
        <w:rPr>
          <w:rStyle w:val="21"/>
          <w:lang w:val="en-GB"/>
        </w:rPr>
        <w:t>Abioye v Yakubu</w:t>
      </w:r>
      <w:r>
        <w:rPr>
          <w:lang w:val="en-GB"/>
        </w:rPr>
        <w:t>.</w:t>
      </w:r>
      <w:r>
        <w:rPr>
          <w:rStyle w:val="22"/>
          <w:lang w:val="en-GB"/>
        </w:rPr>
        <w:footnoteReference w:id="91"/>
      </w:r>
      <w:r>
        <w:rPr>
          <w:lang w:val="en-GB"/>
        </w:rPr>
        <w:t xml:space="preserve"> In that case, there was dispute concerning agricultural land held under customary tenure before the commencement of the Act. The appellants and respondents asserted competing customary interests, and the Court was required to determine the effect of section 36 upon the positions of customary owners and occupiers. The Supreme Court held that the “holder” contemplated by section 36 refers to the customary owner. On the other hand, an “occupier” may be a customary tenant or another person lawfully using the land. The Court concluded that the Act did not extinguish the customary owner’s interest or transform a customary tenant into an absolute owner. Qualifying interests continued as deemed customary rights of occupancy.</w:t>
      </w:r>
    </w:p>
    <w:p w14:paraId="5DF9A69D">
      <w:pPr>
        <w:pStyle w:val="10"/>
        <w:spacing w:line="480" w:lineRule="auto"/>
        <w:jc w:val="both"/>
        <w:rPr>
          <w:lang w:val="en-GB"/>
        </w:rPr>
      </w:pPr>
      <w:r>
        <w:rPr>
          <w:lang w:val="en-GB"/>
        </w:rPr>
        <w:t>Legal pluralism further complicates the position. Nigeria continues to recognise customary family and communal interests, yet those interests must operate within the statutory framework. Scholars</w:t>
      </w:r>
      <w:r>
        <w:rPr>
          <w:rStyle w:val="22"/>
          <w:lang w:val="en-GB"/>
        </w:rPr>
        <w:footnoteReference w:id="92"/>
      </w:r>
      <w:r>
        <w:rPr>
          <w:lang w:val="en-GB"/>
        </w:rPr>
        <w:t xml:space="preserve"> point out that the relationship between customary ownership and the LUA is a tension between parallel systems that are neither fully integrated nor wholly independent.</w:t>
      </w:r>
    </w:p>
    <w:p w14:paraId="4D79B997">
      <w:pPr>
        <w:pStyle w:val="3"/>
      </w:pPr>
      <w:bookmarkStart w:id="122" w:name="_Toc232552306"/>
      <w:bookmarkStart w:id="123" w:name="_Toc232552964"/>
      <w:r>
        <w:t xml:space="preserve">4.3 </w:t>
      </w:r>
      <w:r>
        <w:tab/>
      </w:r>
      <w:r>
        <w:t>Uncertainty in the Right of Occupancy and Certificate of Occupancy</w:t>
      </w:r>
      <w:bookmarkEnd w:id="122"/>
      <w:bookmarkEnd w:id="123"/>
    </w:p>
    <w:p w14:paraId="51D1A68D">
      <w:pPr>
        <w:pStyle w:val="10"/>
        <w:spacing w:line="480" w:lineRule="auto"/>
        <w:jc w:val="both"/>
        <w:rPr>
          <w:lang w:val="en-GB"/>
        </w:rPr>
      </w:pPr>
      <w:r>
        <w:rPr>
          <w:lang w:val="en-GB"/>
        </w:rPr>
        <w:t>The Act introduced statutory and customary rights of occupancy as the principal forms through which landholding is recognised.</w:t>
      </w:r>
      <w:r>
        <w:rPr>
          <w:rStyle w:val="22"/>
          <w:lang w:val="en-GB"/>
        </w:rPr>
        <w:footnoteReference w:id="93"/>
      </w:r>
      <w:r>
        <w:rPr>
          <w:lang w:val="en-GB"/>
        </w:rPr>
        <w:t xml:space="preserve"> Yet it does not define the juridical nature of a right of occupancy. It is uncertain whether the interest should be regarded as a lease from the State, a statutory licence, a limited proprietary right or a continuation of pre-existing ownership which is subject to governmental control. A right of occupancy possesses several characteristics of a proprietary interest. It may be inherited, assigned, mortgaged, leased and protected against trespass, subject to statutory conditions. At the same time, it may be subject to rent, restrictions on alienation and revocation. These features resemble a lease, but the Governor cannot be described as an ordinary beneficial landlord because section 1 states that land is held in trust for Nigerians. The uncertainty is more pronounced where the right is deemed. A deemed right arises from an interest which exists before the Act, whereas an express right arises through an administrative grant.</w:t>
      </w:r>
      <w:r>
        <w:rPr>
          <w:rStyle w:val="22"/>
          <w:lang w:val="en-GB"/>
        </w:rPr>
        <w:footnoteReference w:id="94"/>
      </w:r>
      <w:r>
        <w:rPr>
          <w:lang w:val="en-GB"/>
        </w:rPr>
        <w:t xml:space="preserve"> Their roots may be overlooked when they are treated as identical.  Deemed holder may possess a title derived from family inheritance or customary ownership that predates the statutory system. On the other hand, an express grantee derives the interest from government directly.</w:t>
      </w:r>
      <w:r>
        <w:rPr>
          <w:rStyle w:val="22"/>
          <w:lang w:val="en-GB"/>
        </w:rPr>
        <w:footnoteReference w:id="95"/>
      </w:r>
    </w:p>
    <w:p w14:paraId="72EF611C">
      <w:pPr>
        <w:pStyle w:val="10"/>
        <w:spacing w:line="480" w:lineRule="auto"/>
        <w:jc w:val="both"/>
        <w:rPr>
          <w:lang w:val="en-GB"/>
        </w:rPr>
      </w:pPr>
      <w:r>
        <w:rPr>
          <w:lang w:val="en-GB"/>
        </w:rPr>
        <w:t>The certificate of occupancy introduces a second layer of uncertainty. A certificate is regarded in practice as proof of ownership.</w:t>
      </w:r>
      <w:r>
        <w:rPr>
          <w:rStyle w:val="22"/>
          <w:lang w:val="en-GB"/>
        </w:rPr>
        <w:footnoteReference w:id="96"/>
      </w:r>
      <w:r>
        <w:rPr>
          <w:lang w:val="en-GB"/>
        </w:rPr>
        <w:t xml:space="preserve"> However, the courts in Nigeria have held that it is not conclusive against a superior pre-existing title. It evidences a right of occupancy but it does not guarantee that the land was available for allocation.</w:t>
      </w:r>
      <w:r>
        <w:rPr>
          <w:rStyle w:val="22"/>
          <w:lang w:val="en-GB"/>
        </w:rPr>
        <w:footnoteReference w:id="97"/>
      </w:r>
      <w:r>
        <w:rPr>
          <w:lang w:val="en-GB"/>
        </w:rPr>
        <w:t xml:space="preserve"> In </w:t>
      </w:r>
      <w:r>
        <w:rPr>
          <w:rStyle w:val="21"/>
          <w:lang w:val="en-GB"/>
        </w:rPr>
        <w:t>Adole v Gwar</w:t>
      </w:r>
      <w:r>
        <w:rPr>
          <w:lang w:val="en-GB"/>
        </w:rPr>
        <w:t>,</w:t>
      </w:r>
      <w:r>
        <w:rPr>
          <w:rStyle w:val="22"/>
          <w:lang w:val="en-GB"/>
        </w:rPr>
        <w:footnoteReference w:id="98"/>
      </w:r>
      <w:r>
        <w:rPr>
          <w:lang w:val="en-GB"/>
        </w:rPr>
        <w:t xml:space="preserve"> the parties claimed the disputed land through competing traditional histories. One party relied on a certificate of occupancy which issued by the Benue State Government subsequently. The Supreme Court held that a deemed right of occupancy recognised by the Act could not be extinguished by granting another person a certificate over the same land. The existing interest had first to be validly revoked under section 28. Therefore, the certificate holder could not rely solely upon the governmental document to defeat the earlier title. </w:t>
      </w:r>
    </w:p>
    <w:p w14:paraId="646D72F8">
      <w:pPr>
        <w:pStyle w:val="10"/>
        <w:spacing w:line="480" w:lineRule="auto"/>
        <w:jc w:val="both"/>
        <w:rPr>
          <w:lang w:val="en-GB"/>
        </w:rPr>
      </w:pPr>
      <w:r>
        <w:rPr>
          <w:lang w:val="en-GB"/>
        </w:rPr>
        <w:t>The decision protects existing landholders. However, it also exposes a weakness in the certificate system. A government may issue a certificate without providing the holder with an indefeasible title. Therefore, a purchaser or mortgagee must investigate not only the certificate but also possession, customary history, prior conveyances, survey records and the authority of the original grantor.  The certificate may create a rebuttable presumption of entitlement. However, the presumption is of limited value where land records are incomplete. Persons may incur substantial expenses obtaining certificates and later discover that another party possesses a better customary or documentary title. The state does not provide a statutory indemnity where its own erroneous allocation causes loss.</w:t>
      </w:r>
    </w:p>
    <w:p w14:paraId="55E0816A">
      <w:pPr>
        <w:pStyle w:val="10"/>
        <w:spacing w:line="480" w:lineRule="auto"/>
        <w:jc w:val="both"/>
        <w:rPr>
          <w:lang w:val="en-GB"/>
        </w:rPr>
      </w:pPr>
      <w:r>
        <w:rPr>
          <w:lang w:val="en-GB"/>
        </w:rPr>
        <w:t>Section 6 creates another defect. It fixes maximum areas for customary rights of occupancy granted for agricultural and grazing purposes. A Local Government may grant up to 500 hectares for agriculture and 5,000 hectares for grazing, except where the Governor consents to a larger grant. These figures were enacted in 1978 and do not reflect the realities today. A single national figure may be excessive in a densely populated area but insufficient for large-scale agricultural projects. Conversely, a 5,000-hectare grazing grant may generate conflict where the land is already subject to farming or community interests.</w:t>
      </w:r>
    </w:p>
    <w:p w14:paraId="20D199E0">
      <w:pPr>
        <w:pStyle w:val="3"/>
      </w:pPr>
      <w:bookmarkStart w:id="124" w:name="_Toc232552307"/>
      <w:bookmarkStart w:id="125" w:name="_Toc232552965"/>
      <w:r>
        <w:t xml:space="preserve">4.4 </w:t>
      </w:r>
      <w:r>
        <w:tab/>
      </w:r>
      <w:r>
        <w:t>Defects in the Requirement for Governor’s Consent</w:t>
      </w:r>
      <w:bookmarkEnd w:id="124"/>
      <w:bookmarkEnd w:id="125"/>
    </w:p>
    <w:p w14:paraId="2408DC1A">
      <w:pPr>
        <w:pStyle w:val="10"/>
        <w:spacing w:line="480" w:lineRule="auto"/>
        <w:jc w:val="both"/>
        <w:rPr>
          <w:lang w:val="en-GB"/>
        </w:rPr>
      </w:pPr>
      <w:r>
        <w:rPr>
          <w:lang w:val="en-GB"/>
        </w:rPr>
        <w:t>Section 22 prohibits the holder of a statutory right of occupancy granted by the Governor from alienating it by assignment, mortgage, transfer of possession, sublease or otherwise without the Governor’s consent first had and obtained. Section 26 declares transactions or instruments inconsistent with the Act null and void. Scholars noted that this may have been to prevent uncontrolled land speculation, monitor land use and preserve governmental control.</w:t>
      </w:r>
      <w:r>
        <w:rPr>
          <w:rStyle w:val="22"/>
          <w:lang w:val="en-GB"/>
        </w:rPr>
        <w:footnoteReference w:id="99"/>
      </w:r>
      <w:r>
        <w:rPr>
          <w:lang w:val="en-GB"/>
        </w:rPr>
        <w:t xml:space="preserve"> In practice, however, the consent requirement has become one of the greatest obstacles to efficient conveyancing and mortgage finance.</w:t>
      </w:r>
    </w:p>
    <w:p w14:paraId="02F08DFE">
      <w:pPr>
        <w:pStyle w:val="10"/>
        <w:spacing w:line="480" w:lineRule="auto"/>
        <w:jc w:val="both"/>
        <w:rPr>
          <w:lang w:val="en-GB"/>
        </w:rPr>
      </w:pPr>
      <w:r>
        <w:rPr>
          <w:lang w:val="en-GB"/>
        </w:rPr>
        <w:t>The first defect is the breadth of the requirement. It applies outright assignments as well as mortgages, subleases and transfers of possession. Therefore, private transactions are made dependent upon approval from the governor even where there is no proposed change in the use of the land or threat to public planning.</w:t>
      </w:r>
      <w:r>
        <w:rPr>
          <w:rStyle w:val="22"/>
          <w:lang w:val="en-GB"/>
        </w:rPr>
        <w:footnoteReference w:id="100"/>
      </w:r>
      <w:r>
        <w:rPr>
          <w:lang w:val="en-GB"/>
        </w:rPr>
        <w:t xml:space="preserve"> The second defect is that the statute did not stipulate any deadline. The Act does not require the Governor to approve or refuse an application within a specified number of days. It also does not provide that consent will be deemed granted where the authority fails to act. Therefore, applications may remain pending for prolonged periods. </w:t>
      </w:r>
    </w:p>
    <w:p w14:paraId="6183F3C2">
      <w:pPr>
        <w:pStyle w:val="10"/>
        <w:spacing w:line="480" w:lineRule="auto"/>
        <w:jc w:val="both"/>
        <w:rPr>
          <w:lang w:val="en-GB"/>
        </w:rPr>
      </w:pPr>
      <w:r>
        <w:rPr>
          <w:lang w:val="en-GB"/>
        </w:rPr>
        <w:t>The third defect is cost. Consent forms part of the process for perfection involving charting, assessment, taxation, stamping and registration. Although many charges arise under state laws and administrative practices, the consent-based structure creates the opportunity for multiple fees and unofficial demands. Scholars point out that these cause delay, bureaucracy and uncertainty as major problems associated with the requirement.</w:t>
      </w:r>
      <w:r>
        <w:rPr>
          <w:rStyle w:val="22"/>
          <w:lang w:val="en-GB"/>
        </w:rPr>
        <w:footnoteReference w:id="101"/>
      </w:r>
      <w:r>
        <w:rPr>
          <w:lang w:val="en-GB"/>
        </w:rPr>
        <w:t xml:space="preserve"> The fourth defect concerns the expression “consent first had and obtained.”</w:t>
      </w:r>
      <w:r>
        <w:rPr>
          <w:rStyle w:val="22"/>
          <w:lang w:val="en-GB"/>
        </w:rPr>
        <w:footnoteReference w:id="102"/>
      </w:r>
      <w:r>
        <w:rPr>
          <w:lang w:val="en-GB"/>
        </w:rPr>
        <w:t xml:space="preserve"> When it is interpreted literally, it suggests that consent must precede every agreement or instrument of alienation. However, in commercial practice, parties are required to agree upon terms and execute documents before submitting an identifiable transaction for approval. It would be difficult to apply for consent without an agreement which describe the property, consideration and parties.</w:t>
      </w:r>
    </w:p>
    <w:p w14:paraId="1E2B32F2">
      <w:pPr>
        <w:pStyle w:val="10"/>
        <w:spacing w:line="480" w:lineRule="auto"/>
        <w:jc w:val="both"/>
        <w:rPr>
          <w:lang w:val="en-GB"/>
        </w:rPr>
      </w:pPr>
      <w:r>
        <w:rPr>
          <w:lang w:val="en-GB"/>
        </w:rPr>
        <w:t xml:space="preserve">The Supreme Court attempted to resolve this difficulty in </w:t>
      </w:r>
      <w:r>
        <w:rPr>
          <w:rStyle w:val="21"/>
          <w:lang w:val="en-GB"/>
        </w:rPr>
        <w:t>Awojugbagbe Light Industries Ltd v Chinukwe</w:t>
      </w:r>
      <w:r>
        <w:rPr>
          <w:lang w:val="en-GB"/>
        </w:rPr>
        <w:t>.</w:t>
      </w:r>
      <w:r>
        <w:rPr>
          <w:rStyle w:val="22"/>
          <w:lang w:val="en-GB"/>
        </w:rPr>
        <w:footnoteReference w:id="103"/>
      </w:r>
      <w:r>
        <w:rPr>
          <w:lang w:val="en-GB"/>
        </w:rPr>
        <w:t xml:space="preserve"> The appellant company obtained credit secured by a mortgage, and questions arose concerning the execution of the mortgage and the timing of the Governor’s consent. The Court distinguished between entering into an agreement that remained subject to consent and completing an alienation intended to operate without consent. It held in substance that parties could enter into a conditional transaction pending approval. Otherwise, it would be impossible to present a transaction to the Governor for consideration.</w:t>
      </w:r>
    </w:p>
    <w:p w14:paraId="7A4E33BE">
      <w:pPr>
        <w:pStyle w:val="3"/>
      </w:pPr>
      <w:bookmarkStart w:id="126" w:name="_Toc232552966"/>
      <w:bookmarkStart w:id="127" w:name="_Toc232552308"/>
      <w:r>
        <w:t xml:space="preserve">4.5 </w:t>
      </w:r>
      <w:r>
        <w:tab/>
      </w:r>
      <w:r>
        <w:t>Abuse of the Power of Revocation</w:t>
      </w:r>
      <w:bookmarkEnd w:id="126"/>
      <w:bookmarkEnd w:id="127"/>
    </w:p>
    <w:p w14:paraId="25240B51">
      <w:pPr>
        <w:pStyle w:val="10"/>
        <w:spacing w:line="480" w:lineRule="auto"/>
        <w:jc w:val="both"/>
        <w:rPr>
          <w:lang w:val="en-GB"/>
        </w:rPr>
      </w:pPr>
      <w:r>
        <w:rPr>
          <w:lang w:val="en-GB"/>
        </w:rPr>
        <w:t xml:space="preserve">Section 28 permits the Governor to revoke a right of occupancy for overriding public interest. The concept includes unlawful alienations, breach of conditions and the requirement of land by government for public purposes, mining or related activities. Sections 28(6) and 44 regulate the authorisation and service of revocation notices. The power to acquire land for roads, hospitals, schools and other genuine public purposes is necessary. Nevertheless, section 28 confers extensive discretion without safeguards. </w:t>
      </w:r>
    </w:p>
    <w:p w14:paraId="72D2EFAD">
      <w:pPr>
        <w:pStyle w:val="10"/>
        <w:spacing w:line="480" w:lineRule="auto"/>
        <w:jc w:val="both"/>
        <w:rPr>
          <w:lang w:val="en-GB"/>
        </w:rPr>
      </w:pPr>
      <w:r>
        <w:rPr>
          <w:lang w:val="en-GB"/>
        </w:rPr>
        <w:t>The first defect is the breadth of “overriding public interest.” The grounds enable the government to acquire land for a wide range of projects but it did not require a assessment for proportionality. The Governor is not required to demonstrate that the acquisition is necessary or that less intrusive alternatives have been considered or that the public benefit outweighs the harm to the holder. The second defect is that revocation may facilitate private commercial interests. Land may be revoked on the stated basis of development and later allocated to a private company. Indeed, public-private project may serve the public genuinely. However, the Act provides insufficient criteria for distinguishing a legitimate public project from a transfer which is motivated by private patronage. The third defect is that there is no reversionary remedy. Where land is acquired for a specified public purpose but is left unused, transferred to another private person or applied to an entirely different purpose, the former holder does not receive a right to recover it. This enables government to retain control even after the justification for acquisition has failed.</w:t>
      </w:r>
    </w:p>
    <w:p w14:paraId="2141A41B">
      <w:pPr>
        <w:pStyle w:val="10"/>
        <w:spacing w:line="480" w:lineRule="auto"/>
        <w:jc w:val="both"/>
        <w:rPr>
          <w:lang w:val="en-GB"/>
        </w:rPr>
      </w:pPr>
      <w:r>
        <w:rPr>
          <w:lang w:val="en-GB"/>
        </w:rPr>
        <w:t xml:space="preserve">In </w:t>
      </w:r>
      <w:r>
        <w:rPr>
          <w:rStyle w:val="21"/>
          <w:lang w:val="en-GB"/>
        </w:rPr>
        <w:t>Brossette Manufacturing Nigeria Ltd v M/S Ola Ilemobola Ltd</w:t>
      </w:r>
      <w:r>
        <w:rPr>
          <w:lang w:val="en-GB"/>
        </w:rPr>
        <w:t>,</w:t>
      </w:r>
      <w:r>
        <w:rPr>
          <w:rStyle w:val="22"/>
          <w:lang w:val="en-GB"/>
        </w:rPr>
        <w:footnoteReference w:id="104"/>
      </w:r>
      <w:r>
        <w:rPr>
          <w:lang w:val="en-GB"/>
        </w:rPr>
        <w:t xml:space="preserve"> the claimant’s industrial right of occupancy was purportedly revoked and the land subsequently became the subject of another claim. The revocation instrument was challenged on the basis that it operated retrospectively and it did not comply with the statutory requirements. The Supreme Court noted that section 28 must be complied with strictly. It also held that a defective revocation could not extinguish the holder’s interest lawfully. </w:t>
      </w:r>
    </w:p>
    <w:p w14:paraId="6E4154C8">
      <w:pPr>
        <w:pStyle w:val="3"/>
      </w:pPr>
      <w:bookmarkStart w:id="128" w:name="_Toc232552309"/>
      <w:bookmarkStart w:id="129" w:name="_Toc232552967"/>
      <w:r>
        <w:t xml:space="preserve">4.6 </w:t>
      </w:r>
      <w:r>
        <w:tab/>
      </w:r>
      <w:r>
        <w:t>Inadequacy of Compensation for Compulsory Acquisition and Resettlement</w:t>
      </w:r>
      <w:bookmarkEnd w:id="128"/>
      <w:bookmarkEnd w:id="129"/>
    </w:p>
    <w:p w14:paraId="5B5E669B">
      <w:pPr>
        <w:pStyle w:val="10"/>
        <w:spacing w:line="480" w:lineRule="auto"/>
        <w:jc w:val="both"/>
        <w:rPr>
          <w:lang w:val="en-GB"/>
        </w:rPr>
      </w:pPr>
      <w:r>
        <w:rPr>
          <w:lang w:val="en-GB"/>
        </w:rPr>
        <w:t>Section 29 governs compensation after revocation for specified public purposes. For bare land, compensation is related to rent paid during the year of revocation. For buildings and installations, it is based on the cost of replacement less depreciation. Crops are assessed according to prescribed rates. Therefore, the scheme focuses upon unexhausted improvements, not the market value of the land interest. This is a fundamental defect. Undeveloped land may possess substantial value because of the location, the potential of development, fertility or access to infrastructure. A person deprived of valuable urban land may receive little compensation because no permanent building has been erected. Similarly, farming and grazing communities may depend upon land which contains few structures but they remain essential to their livelihoods.</w:t>
      </w:r>
    </w:p>
    <w:p w14:paraId="4F931C27">
      <w:pPr>
        <w:pStyle w:val="10"/>
        <w:spacing w:line="480" w:lineRule="auto"/>
        <w:jc w:val="both"/>
        <w:rPr>
          <w:lang w:val="en-GB"/>
        </w:rPr>
      </w:pPr>
      <w:r>
        <w:rPr>
          <w:lang w:val="en-GB"/>
        </w:rPr>
        <w:t>The formula does not address consequential losses. An acquisition may cause the interruption of business, expenses in relocating, severance of retained land, loss of access, destruction of community networks and loss of future income. These losses are not reflected in compensation for physical improvements. The depreciation principle may also cause injustice. A family may occupy an old building that remains habitable and socially valuable, but the compensation payable after depreciation may be insufficient to purchase or construct equivalent accommodation at current prices. More so, The Act does not establish a rule that compensation must be assessed and paid before possession is taken. Delayed payment means that a holder may lose land and livelihood while they wait for administrative valuation. Inflation reduces the real value of compensation by the time it is paid. Section 30 assigns disputes over compensation to the appropriate Land Use and Allocation Committee. Yet the committee is appointed within the same executive structure that advises the Governor. Therefore, the acquiring authority have significant influence over the body which determine the compensation.</w:t>
      </w:r>
      <w:r>
        <w:rPr>
          <w:rStyle w:val="22"/>
          <w:lang w:val="en-GB"/>
        </w:rPr>
        <w:footnoteReference w:id="105"/>
      </w:r>
    </w:p>
    <w:p w14:paraId="59ABE7D2">
      <w:pPr>
        <w:pStyle w:val="10"/>
        <w:spacing w:line="480" w:lineRule="auto"/>
        <w:jc w:val="both"/>
        <w:rPr>
          <w:lang w:val="en-GB"/>
        </w:rPr>
      </w:pPr>
      <w:r>
        <w:rPr>
          <w:lang w:val="en-GB"/>
        </w:rPr>
        <w:t xml:space="preserve">In </w:t>
      </w:r>
      <w:r>
        <w:rPr>
          <w:rStyle w:val="21"/>
          <w:lang w:val="en-GB"/>
        </w:rPr>
        <w:t>Attorney-General of Bendel State v P.L.A. Aideyan</w:t>
      </w:r>
      <w:r>
        <w:rPr>
          <w:lang w:val="en-GB"/>
        </w:rPr>
        <w:t>,</w:t>
      </w:r>
      <w:r>
        <w:rPr>
          <w:rStyle w:val="22"/>
          <w:lang w:val="en-GB"/>
        </w:rPr>
        <w:footnoteReference w:id="106"/>
      </w:r>
      <w:r>
        <w:rPr>
          <w:lang w:val="en-GB"/>
        </w:rPr>
        <w:t xml:space="preserve"> there was a dispute concerning land acquired by government and the compensation payable to persons who assert ownership. The Court recognised that questions which concern entitlement to the land and the quantum of compensation were significant legally and they required proper adjudication. This illustrates that compensation cannot be separated from proof of the interest taken and should not be determined by the executive exclusively. Furthermore, resettlement under section 33 is underdeveloped. The Act permits the provision of alternative accommodation or land. However, it does not set standards which are detailed for suitability, security of tenure, access to employment, schools, healthcare and community resources. For instance, a remote replacement site cannot be considered adequate merely because land or a structure has been offered.</w:t>
      </w:r>
    </w:p>
    <w:p w14:paraId="32E95375">
      <w:pPr>
        <w:pStyle w:val="3"/>
      </w:pPr>
      <w:bookmarkStart w:id="130" w:name="_Toc232552310"/>
      <w:bookmarkStart w:id="131" w:name="_Toc232552968"/>
      <w:r>
        <w:t xml:space="preserve">4.7 </w:t>
      </w:r>
      <w:r>
        <w:tab/>
      </w:r>
      <w:r>
        <w:t>Weak Protection of Customary, Family and Communal Land Interests</w:t>
      </w:r>
      <w:bookmarkEnd w:id="130"/>
      <w:bookmarkEnd w:id="131"/>
    </w:p>
    <w:p w14:paraId="3C33861F">
      <w:pPr>
        <w:pStyle w:val="10"/>
        <w:spacing w:line="480" w:lineRule="auto"/>
        <w:jc w:val="both"/>
        <w:rPr>
          <w:lang w:val="en-GB"/>
        </w:rPr>
      </w:pPr>
      <w:r>
        <w:rPr>
          <w:lang w:val="en-GB"/>
        </w:rPr>
        <w:t>The Act does not abolish customary tenure. Sections 34 and 36 preserve certain pre-existing interests. Local Governments may grant customary rights of occupancy under section 6. Nevertheless, the statute fails to provide a framework for family and communal land. Customary landholding is not uniform. Land may be held by an extended family, village, lineage or community, with different rights allocated to members, tenants, farmers and future generations. The head of the family or community manages the land but may not have an unrestricted power to dispose of the land.</w:t>
      </w:r>
      <w:r>
        <w:rPr>
          <w:rStyle w:val="22"/>
          <w:lang w:val="en-GB"/>
        </w:rPr>
        <w:footnoteReference w:id="107"/>
      </w:r>
    </w:p>
    <w:p w14:paraId="1FAD2C34">
      <w:pPr>
        <w:pStyle w:val="10"/>
        <w:spacing w:line="480" w:lineRule="auto"/>
        <w:jc w:val="both"/>
        <w:rPr>
          <w:lang w:val="en-GB"/>
        </w:rPr>
      </w:pPr>
      <w:r>
        <w:rPr>
          <w:lang w:val="en-GB"/>
        </w:rPr>
        <w:t xml:space="preserve">The Act does not regulate internal decision-making of community. It does not determine who must consent to the alienation of family or communal land, how women and younger members should participate, how boundaries should be recorded or how collective interests should be registered. These remain governed largely by customary law and judicial decisions. In </w:t>
      </w:r>
      <w:r>
        <w:rPr>
          <w:rStyle w:val="21"/>
          <w:lang w:val="en-GB"/>
        </w:rPr>
        <w:t>Ogunola v Eiyekole</w:t>
      </w:r>
      <w:r>
        <w:rPr>
          <w:lang w:val="en-GB"/>
        </w:rPr>
        <w:t>,</w:t>
      </w:r>
      <w:r>
        <w:rPr>
          <w:rStyle w:val="22"/>
          <w:lang w:val="en-GB"/>
        </w:rPr>
        <w:footnoteReference w:id="108"/>
      </w:r>
      <w:r>
        <w:rPr>
          <w:lang w:val="en-GB"/>
        </w:rPr>
        <w:t xml:space="preserve"> the dispute arose between customary landholders and persons who occupy the land as customary tenants. The tenants challenged the authority of the customary landlords after the commencement of the Act. The Supreme Court held that the Act did not abolish customary tenancies or traditional remedies such as forfeiture where a tenant denied the landlord’s title or alienated contrary to customary law. The decision protected customary relationships. However, it illustrates that customary tenure is not integrated completely into the act. Going further, women may be disadvantaged where customary practices limit inheritance or participation in family decisions.</w:t>
      </w:r>
      <w:r>
        <w:rPr>
          <w:rStyle w:val="22"/>
          <w:lang w:val="en-GB"/>
        </w:rPr>
        <w:footnoteReference w:id="109"/>
      </w:r>
      <w:r>
        <w:rPr>
          <w:lang w:val="en-GB"/>
        </w:rPr>
        <w:t xml:space="preserve"> The Act is gender-neutral formally but contains no safeguards which require equal participation. Formal neutrality is insufficient where land tenure reproduces structural exclusion.</w:t>
      </w:r>
    </w:p>
    <w:p w14:paraId="518591AB">
      <w:pPr>
        <w:pStyle w:val="3"/>
      </w:pPr>
      <w:bookmarkStart w:id="132" w:name="_Toc232552311"/>
      <w:bookmarkStart w:id="133" w:name="_Toc232552969"/>
      <w:r>
        <w:t xml:space="preserve">4.8 </w:t>
      </w:r>
      <w:r>
        <w:tab/>
      </w:r>
      <w:r>
        <w:t>The Ouster of Judicial Jurisdiction under Section 47</w:t>
      </w:r>
      <w:bookmarkEnd w:id="132"/>
      <w:bookmarkEnd w:id="133"/>
    </w:p>
    <w:p w14:paraId="0C32319A">
      <w:pPr>
        <w:pStyle w:val="10"/>
        <w:spacing w:line="480" w:lineRule="auto"/>
        <w:jc w:val="both"/>
        <w:rPr>
          <w:lang w:val="en-GB"/>
        </w:rPr>
      </w:pPr>
      <w:r>
        <w:rPr>
          <w:lang w:val="en-GB"/>
        </w:rPr>
        <w:t>Section 47 is one of the most objectionable provisions of the Act. It attempts to prevent courts from inquiring into certain acts done by the Governor and into questions which concerns the amount or adequacy of compensation under the Act. This provision conflicts with basic principles of constitutions.</w:t>
      </w:r>
      <w:r>
        <w:rPr>
          <w:rStyle w:val="22"/>
          <w:lang w:val="en-GB"/>
        </w:rPr>
        <w:footnoteReference w:id="110"/>
      </w:r>
      <w:r>
        <w:rPr>
          <w:lang w:val="en-GB"/>
        </w:rPr>
        <w:t xml:space="preserve">  The rule of law requires that those decisions of the executive which affect proprietary interests should be subject to judicial supervision.</w:t>
      </w:r>
      <w:r>
        <w:rPr>
          <w:rStyle w:val="22"/>
          <w:lang w:val="en-GB"/>
        </w:rPr>
        <w:footnoteReference w:id="111"/>
      </w:r>
      <w:r>
        <w:rPr>
          <w:lang w:val="en-GB"/>
        </w:rPr>
        <w:t xml:space="preserve"> In that sense, a Governor should not be the final judge of whether the Governor’s own allocation, revocation or compensation decision was lawful. Section 36 of the Constitution guarantees fair hearing in the determining of civil rights and obligations. Section 44 requires that any legislation which provides for compulsory-acquisition must provide access to a court, tribunal or other body for determining the affected interest and compensation. Therefore, section 47 does not grant complete immunity from judicial scrutiny.</w:t>
      </w:r>
    </w:p>
    <w:p w14:paraId="7CA5AAAC">
      <w:pPr>
        <w:pStyle w:val="10"/>
        <w:spacing w:line="480" w:lineRule="auto"/>
        <w:jc w:val="both"/>
        <w:rPr>
          <w:lang w:val="en-GB"/>
        </w:rPr>
      </w:pPr>
      <w:r>
        <w:rPr>
          <w:lang w:val="en-GB"/>
        </w:rPr>
        <w:t xml:space="preserve">In </w:t>
      </w:r>
      <w:r>
        <w:rPr>
          <w:rStyle w:val="21"/>
          <w:lang w:val="en-GB"/>
        </w:rPr>
        <w:t>Adisa v Oyinwola</w:t>
      </w:r>
      <w:r>
        <w:rPr>
          <w:lang w:val="en-GB"/>
        </w:rPr>
        <w:t>,</w:t>
      </w:r>
      <w:r>
        <w:rPr>
          <w:rStyle w:val="22"/>
          <w:lang w:val="en-GB"/>
        </w:rPr>
        <w:footnoteReference w:id="112"/>
      </w:r>
      <w:r>
        <w:rPr>
          <w:lang w:val="en-GB"/>
        </w:rPr>
        <w:t xml:space="preserve"> there was a dispute about the title to non-urban land and whether the High Court possessed jurisdiction in view of the jurisdictional provisions of the Act. The Supreme Court held that the Act did not oust the jurisdiction of State High Courts completely. Jurisdiction depended upon the nature of the claim, the reliefs sought and the applicable provisions of the statute. </w:t>
      </w:r>
    </w:p>
    <w:p w14:paraId="7A917E7E">
      <w:pPr>
        <w:pStyle w:val="3"/>
      </w:pPr>
      <w:bookmarkStart w:id="134" w:name="_Toc232552970"/>
      <w:bookmarkStart w:id="135" w:name="_Toc232552312"/>
      <w:r>
        <w:t xml:space="preserve">4.9 </w:t>
      </w:r>
      <w:r>
        <w:tab/>
      </w:r>
      <w:r>
        <w:t>Constitutional Obstacles to the Amendment of the Act</w:t>
      </w:r>
      <w:bookmarkEnd w:id="134"/>
      <w:bookmarkEnd w:id="135"/>
    </w:p>
    <w:p w14:paraId="3AAEAB46">
      <w:pPr>
        <w:pStyle w:val="10"/>
        <w:spacing w:line="480" w:lineRule="auto"/>
        <w:jc w:val="both"/>
        <w:rPr>
          <w:lang w:val="en-GB"/>
        </w:rPr>
      </w:pPr>
      <w:r>
        <w:rPr>
          <w:lang w:val="en-GB"/>
        </w:rPr>
        <w:t xml:space="preserve">Section 315(5)(d) of the Constitution gives the LUA a protected status. The Act cannot be amended or repealed through the ordinary legislative process. Alteration must satisfy the constitutional procedure under section 9. This requires the prescribed supermajority in the National Assembly and approval by not less than two-thirds of the State Houses of Assembly. </w:t>
      </w:r>
    </w:p>
    <w:p w14:paraId="59ED6DE0">
      <w:pPr>
        <w:pStyle w:val="10"/>
        <w:spacing w:line="480" w:lineRule="auto"/>
        <w:jc w:val="both"/>
        <w:rPr>
          <w:lang w:val="en-GB"/>
        </w:rPr>
      </w:pPr>
      <w:r>
        <w:rPr>
          <w:lang w:val="en-GB"/>
        </w:rPr>
        <w:t>This entrenchment creates several problems. Firstly, it constitutionalises matters of administrative detail. Requiring constitutional alteration for every reform makes the system inflexible. Secondly, entrenchment prevents timely response to technological and economic developments.</w:t>
      </w:r>
      <w:r>
        <w:rPr>
          <w:rStyle w:val="22"/>
          <w:lang w:val="en-GB"/>
        </w:rPr>
        <w:footnoteReference w:id="113"/>
      </w:r>
      <w:r>
        <w:rPr>
          <w:lang w:val="en-GB"/>
        </w:rPr>
        <w:t xml:space="preserve"> Thirdly, the arrangement weakens federal flexibility. Nigeria is a federation with substantially different land pressures across states. Lagos faces intense urbanisation and property-market demands. Other states may be concerned principally with agriculture, communal land or pastoral mobility.</w:t>
      </w:r>
      <w:r>
        <w:rPr>
          <w:rStyle w:val="22"/>
          <w:lang w:val="en-GB"/>
        </w:rPr>
        <w:footnoteReference w:id="114"/>
      </w:r>
      <w:r>
        <w:rPr>
          <w:lang w:val="en-GB"/>
        </w:rPr>
        <w:t xml:space="preserve"> States may enact complementary registration and planning laws. However, they cannot alter the central structure of the Act fundamentally.  Fourthly, the requirement creates political inertia. Land reform affects governmental, commercial and customary interests. Obtaining agreement from the necessary federal and state institutions is difficult even where technical consensus exists among legal and land-administration experts.</w:t>
      </w:r>
      <w:r>
        <w:rPr>
          <w:rStyle w:val="22"/>
          <w:lang w:val="en-GB"/>
        </w:rPr>
        <w:footnoteReference w:id="115"/>
      </w:r>
      <w:r>
        <w:rPr>
          <w:lang w:val="en-GB"/>
        </w:rPr>
        <w:t xml:space="preserve"> In the light of the above, the CFRN (Sixth Alteration) Bill 2024 proposed deleting section 315(5)(d) so that the LUA could thereafter be amended as a federal enactment through the normal legislative process.</w:t>
      </w:r>
      <w:r>
        <w:rPr>
          <w:rStyle w:val="22"/>
          <w:lang w:val="en-GB"/>
        </w:rPr>
        <w:footnoteReference w:id="116"/>
      </w:r>
    </w:p>
    <w:p w14:paraId="049D153A">
      <w:pPr>
        <w:pStyle w:val="3"/>
      </w:pPr>
      <w:bookmarkStart w:id="136" w:name="_Toc232552971"/>
      <w:bookmarkStart w:id="137" w:name="_Toc232552313"/>
      <w:r>
        <w:t xml:space="preserve">4.10 </w:t>
      </w:r>
      <w:r>
        <w:tab/>
      </w:r>
      <w:r>
        <w:t>Administrative and Institutional Deficiencies</w:t>
      </w:r>
      <w:bookmarkEnd w:id="136"/>
      <w:bookmarkEnd w:id="137"/>
    </w:p>
    <w:p w14:paraId="1944064C">
      <w:pPr>
        <w:pStyle w:val="10"/>
        <w:spacing w:line="480" w:lineRule="auto"/>
        <w:jc w:val="both"/>
        <w:rPr>
          <w:lang w:val="en-GB"/>
        </w:rPr>
      </w:pPr>
      <w:r>
        <w:rPr>
          <w:lang w:val="en-GB"/>
        </w:rPr>
        <w:t>The defects of the Act are aggravated by weaknesses in the institutions which are responsible for its implementation. Governors, Local Governments, Land Use and Allocation Committees, Ministries of Lands, survey departments and registries do not always possess the coordination, independence or technical capacity which are required for administrating efficiently.</w:t>
      </w:r>
      <w:r>
        <w:rPr>
          <w:rStyle w:val="22"/>
          <w:lang w:val="en-GB"/>
        </w:rPr>
        <w:footnoteReference w:id="117"/>
      </w:r>
    </w:p>
    <w:p w14:paraId="61B25C3C">
      <w:pPr>
        <w:pStyle w:val="10"/>
        <w:spacing w:line="480" w:lineRule="auto"/>
        <w:jc w:val="both"/>
        <w:rPr>
          <w:lang w:val="en-GB"/>
        </w:rPr>
      </w:pPr>
      <w:r>
        <w:rPr>
          <w:lang w:val="en-GB"/>
        </w:rPr>
        <w:t>Firstly, there is bureaucratic fragmentation. An applicant would have to deal with the Ministry of Lands, Surveyor-General, planning authority, revenue service, stamp-duties office and land registry. Where these bodies maintain separate records and processes, the applicant may submit similar documents and encounter inconsistent information. Secondly, records are kept poorly. Paper-based files are incomplete, damaged, misplaced or manipulated.</w:t>
      </w:r>
      <w:r>
        <w:rPr>
          <w:rStyle w:val="22"/>
          <w:lang w:val="en-GB"/>
        </w:rPr>
        <w:footnoteReference w:id="118"/>
      </w:r>
      <w:r>
        <w:rPr>
          <w:lang w:val="en-GB"/>
        </w:rPr>
        <w:t xml:space="preserve"> In the absence of an integrated cadastral system, the same plot may be allocated more than once or described inconsistently in different documents. Thirdly, statutory committees are weak. The Land Use and Allocation Committees are advisory and they are appointed by the Governor. They do not provide an institutional check upon the executive powers of allocation, revocation and compensation.</w:t>
      </w:r>
      <w:r>
        <w:rPr>
          <w:rStyle w:val="22"/>
          <w:lang w:val="en-GB"/>
        </w:rPr>
        <w:footnoteReference w:id="119"/>
      </w:r>
      <w:r>
        <w:rPr>
          <w:lang w:val="en-GB"/>
        </w:rPr>
        <w:t xml:space="preserve"> Local Land Allocation Advisory Committees often lack funding, professional staff and reliable information.</w:t>
      </w:r>
      <w:r>
        <w:rPr>
          <w:rStyle w:val="22"/>
          <w:lang w:val="en-GB"/>
        </w:rPr>
        <w:footnoteReference w:id="120"/>
      </w:r>
      <w:r>
        <w:rPr>
          <w:lang w:val="en-GB"/>
        </w:rPr>
        <w:t xml:space="preserve"> Fourthly, the capacity of Local Government is limited. Section 6 assigns important responsibilities over non-urban land to Local Governments. However, many councils lack surveyors, valuers, digital registries and trained land officers. Therefore, the statutory allocation of functions is not matched by institutional resources. Fifthly, corruption and lack of transparency persists. When there is discretionary approvals, uncertain periods for processing and fragmented records, there would be opportunities for unofficial payments and preferential treatment. Sixthly, federal and state authority overlap. Disputes arise where federal institutions claim control over land within a state.</w:t>
      </w:r>
      <w:r>
        <w:rPr>
          <w:rStyle w:val="22"/>
          <w:lang w:val="en-GB"/>
        </w:rPr>
        <w:footnoteReference w:id="121"/>
      </w:r>
      <w:r>
        <w:rPr>
          <w:lang w:val="en-GB"/>
        </w:rPr>
        <w:t xml:space="preserve"> These problems confirm that amendment must address both the statute and its implementing institutions.</w:t>
      </w:r>
    </w:p>
    <w:p w14:paraId="6ECD9BB0">
      <w:pPr>
        <w:pStyle w:val="10"/>
        <w:spacing w:line="480" w:lineRule="auto"/>
        <w:jc w:val="both"/>
        <w:rPr>
          <w:lang w:val="en-GB"/>
        </w:rPr>
      </w:pPr>
    </w:p>
    <w:p w14:paraId="6A28D803">
      <w:pPr>
        <w:pStyle w:val="10"/>
        <w:spacing w:line="480" w:lineRule="auto"/>
        <w:jc w:val="both"/>
        <w:rPr>
          <w:lang w:val="en-GB"/>
        </w:rPr>
      </w:pPr>
    </w:p>
    <w:p w14:paraId="14E1AD17">
      <w:pPr>
        <w:pStyle w:val="10"/>
        <w:spacing w:line="480" w:lineRule="auto"/>
        <w:jc w:val="both"/>
        <w:rPr>
          <w:lang w:val="en-GB"/>
        </w:rPr>
      </w:pPr>
    </w:p>
    <w:p w14:paraId="59400D58">
      <w:pPr>
        <w:pStyle w:val="2"/>
      </w:pPr>
      <w:bookmarkStart w:id="138" w:name="_Toc232552972"/>
      <w:bookmarkStart w:id="139" w:name="_Toc232552314"/>
      <w:r>
        <w:t>CHAPTER FIVE</w:t>
      </w:r>
      <w:bookmarkEnd w:id="138"/>
      <w:bookmarkEnd w:id="139"/>
    </w:p>
    <w:p w14:paraId="094CD518">
      <w:pPr>
        <w:pStyle w:val="2"/>
      </w:pPr>
      <w:bookmarkStart w:id="140" w:name="_Toc232552973"/>
      <w:bookmarkStart w:id="141" w:name="_Toc232552315"/>
      <w:r>
        <w:t>SUMMARY OF FINDINGS, RECOMMENDATIONS AND CONCLUSION</w:t>
      </w:r>
      <w:bookmarkEnd w:id="140"/>
      <w:bookmarkEnd w:id="141"/>
    </w:p>
    <w:p w14:paraId="6397B150">
      <w:pPr>
        <w:pStyle w:val="3"/>
      </w:pPr>
      <w:bookmarkStart w:id="142" w:name="_Toc232552974"/>
      <w:bookmarkStart w:id="143" w:name="_Toc232552316"/>
      <w:r>
        <w:t xml:space="preserve">5.1 </w:t>
      </w:r>
      <w:r>
        <w:tab/>
      </w:r>
      <w:r>
        <w:t>Summary of Findings</w:t>
      </w:r>
      <w:bookmarkEnd w:id="142"/>
      <w:bookmarkEnd w:id="143"/>
      <w:r>
        <w:t xml:space="preserve"> </w:t>
      </w:r>
    </w:p>
    <w:p w14:paraId="4D7A41B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project has appraised the LUA 2004 and, in doing so, elucidated the need for its amendment. </w:t>
      </w:r>
      <w:r>
        <w:rPr>
          <w:rFonts w:ascii="Times New Roman" w:hAnsi="Times New Roman" w:cs="Times New Roman"/>
          <w:sz w:val="24"/>
          <w:szCs w:val="24"/>
          <w:lang w:val="en-US"/>
        </w:rPr>
        <w:t xml:space="preserve">Firstly, it examined the major provisions of the LUA and the legislative framework for land administration under the Act. It was found that the Constitution is the supreme source of law in Nigeria. Section 315(5)(d) stipulates that the LUA is one of the enactments that cannot be altered or repealed except in accordance with the procedure prescribed for altering the Constitution. The LUA contains 52 sections and it is divided into provisions which deal with general land administration, principles of land tenure, rents, alienation, revocation, compensation, transitional interests, jurisdiction and miscellaneous matters. Section 1 vests all land within the territory of each state, except land vested in the Federal Government or its agencies, in the Governor. The Governor is to hold the land in trust and administer it for the use and common benefit of Nigerians. Other relevant legislations include </w:t>
      </w:r>
      <w:r>
        <w:rPr>
          <w:rFonts w:ascii="Times New Roman" w:hAnsi="Times New Roman" w:cs="Times New Roman"/>
          <w:sz w:val="24"/>
          <w:szCs w:val="24"/>
        </w:rPr>
        <w:t xml:space="preserve">State land-registration laws, Laws for Registration of Titles, Laws for Land Instruments Registration, Laws for Urban and Regional Planning. </w:t>
      </w:r>
      <w:r>
        <w:rPr>
          <w:rFonts w:ascii="Times New Roman" w:hAnsi="Times New Roman" w:cs="Times New Roman"/>
          <w:sz w:val="24"/>
          <w:szCs w:val="24"/>
          <w:lang w:val="en-US"/>
        </w:rPr>
        <w:t>The Nigerian Urban and Regional Planning Act 1992 sought to establish a national framework and distribute the responsibilities for planning among federal, state and Local Government authorities.</w:t>
      </w:r>
    </w:p>
    <w:p w14:paraId="6638331E">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Secondly, the project examined the institutional framework for land administration under the LUA. It was found that the Governor is the central institution under the LUA. The Governor controls urban land, grants statutory rights of occupancy, determines rents, approves alienation and exercises revocation powers. Local Governments administer non-urban land under section 2 and they may grant customary rights of occupancy under section 6. State Ministries of Lands or equivalent agencies undertake the administrative work which is necessary for implementing the Governor’s powers. Land registries maintain records of registered titles and instruments. The courts interpret the Constitution, the LUA and state legislation. The High Court exercise jurisdiction under section 39 in relation to statutory rights and other matters within their constitutional jurisdiction. Customary and Area Courts exercise jurisdiction over customary rights and rural land disputes, subject to the relevant state laws and appellate structure Judicial review is important because the Act grants extensive discretion to executive authorities. </w:t>
      </w:r>
    </w:p>
    <w:p w14:paraId="150DE8B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Thirdly, the project evaluated the defects in the operation of the LUA. It was found that the Act concentrates the powers for the administration of land in the Governor excessively. There is no independent land commission with binding supervisory powers over the Governor’s decisions. Section 1 states that all land within each state is vested in the Governor. However, the Act does not define what “vesting” means. It is unclear from the language alone whether the provision transfers ownership to the Governor absolutely or places only management and control in the Governor. Section 47 attempts to restrict judicial inquiry into certain decisions and the adequacy of compensation. This creates tension with sections 43 and 44 of the Constitution, which recognise the right to own immovable property and compensation for compulsory acquisition as well as access to a court or tribunal. Finally, section 315(5)(d) of the Constitution gives the Act a specially protected status. Hence, alteration is subject to constitutional amendment. </w:t>
      </w:r>
    </w:p>
    <w:p w14:paraId="51A617D0">
      <w:pPr>
        <w:pStyle w:val="3"/>
        <w:rPr>
          <w:lang w:val="en-US"/>
        </w:rPr>
      </w:pPr>
      <w:bookmarkStart w:id="144" w:name="_Toc232552975"/>
      <w:bookmarkStart w:id="145" w:name="_Toc232552317"/>
      <w:r>
        <w:rPr>
          <w:lang w:val="en-US"/>
        </w:rPr>
        <w:t xml:space="preserve">5.2 </w:t>
      </w:r>
      <w:r>
        <w:rPr>
          <w:lang w:val="en-US"/>
        </w:rPr>
        <w:tab/>
      </w:r>
      <w:r>
        <w:rPr>
          <w:lang w:val="en-US"/>
        </w:rPr>
        <w:t>Recommendations</w:t>
      </w:r>
      <w:bookmarkEnd w:id="144"/>
      <w:bookmarkEnd w:id="145"/>
    </w:p>
    <w:p w14:paraId="6BEC6425">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Amend the status of the Land Use Act in the Constitution</w:t>
      </w:r>
    </w:p>
    <w:p w14:paraId="66CADA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Section 315(5)(d) of the constitution should be amended; Thus, the Land Use Act  should be removed from the category of enactments that may only be altered through the constitutional amendment. At the present, land reform is difficult because even minor administrative changes require compliance with the procedure prescribed under section 9 of the Constitution. Therefore, the National Assembly should initiate and pursue a bill for the altering the constitution and thus delete section 315(5)(d). After its removal from the Constitution, the Act should remain a federal enactment that may be amended through the ordinary legislative process. This would permit the National Assembly to review outdated provisions promptly in response to technological, economic and social developments. However, reform should preserve minimum national standards which govern the security of tenure, compulsory acquisition and the protection of customary interests. This allows states to adopt complementary procedures which are suited to their needs. </w:t>
      </w:r>
    </w:p>
    <w:p w14:paraId="0F31F748">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Clarify Vesting and Rights of Occupancy</w:t>
      </w:r>
    </w:p>
    <w:p w14:paraId="0AE83FC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Sections 1, 5, 34 and 36 of the Act should be amended to clarify the legal effect of vesting land in the Governor. The amendment should state expressly that the Governor does not acquire beneficial ownership of all land in the state. Rather, the Governor exercises administrative and regulatory control for the common benefit of Nigerians and this should be subject to existing individual, family and communal interests. The Act should also stipulate that a right of occupancy is a proprietary interest which is capable of possession, inheritance, transfer, mortgage and judicial protection, subject only to lawful statutory restrictions. It should distinguish between a granted right of occupancy and a deemed right which arise from an interest that existed before the commencement of the Act. Furthermore, the Act should provide that a certificate of occupancy is evidence of title and does not extinguish a superior pre-existing interest. These would reduce disputes which arise from the assumption that a certificate of occupancy constitutes an absolute or indefeasible title.</w:t>
      </w:r>
    </w:p>
    <w:p w14:paraId="0AE2843E">
      <w:pPr>
        <w:spacing w:line="480" w:lineRule="auto"/>
        <w:jc w:val="both"/>
        <w:rPr>
          <w:rFonts w:ascii="Times New Roman" w:hAnsi="Times New Roman" w:cs="Times New Roman"/>
          <w:sz w:val="24"/>
          <w:szCs w:val="24"/>
          <w:lang w:val="en-US"/>
        </w:rPr>
      </w:pPr>
    </w:p>
    <w:p w14:paraId="2EF7E9AF">
      <w:pPr>
        <w:spacing w:line="480" w:lineRule="auto"/>
        <w:jc w:val="both"/>
        <w:rPr>
          <w:rFonts w:ascii="Times New Roman" w:hAnsi="Times New Roman" w:cs="Times New Roman"/>
          <w:sz w:val="24"/>
          <w:szCs w:val="24"/>
          <w:lang w:val="en-US"/>
        </w:rPr>
      </w:pPr>
    </w:p>
    <w:p w14:paraId="77CCAA06">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Reform of the Governor’s Consent Requirement</w:t>
      </w:r>
    </w:p>
    <w:p w14:paraId="01A3A504">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Section 22 of the Act should be amended so as to reduce the burden created by the requirement for Governor’s consent. Consent should not be required for every assignment, mortgage, sublease or transfer which involves a statutory right of occupancy. Routine transactions should be completed through registration and notification to land authority. Governor’s consent should be restricted to transactions which involve public interests, changes in the authorised use of land, large-scale transfers, foreign interests or land which is subject to special statutory conditions. Where consent remains necessary, the Act should prescribe a definite period</w:t>
      </w:r>
      <w:r>
        <w:rPr>
          <w:rStyle w:val="22"/>
          <w:rFonts w:ascii="Times New Roman" w:hAnsi="Times New Roman" w:cs="Times New Roman"/>
          <w:lang w:val="en-US"/>
        </w:rPr>
        <w:footnoteReference w:id="122"/>
      </w:r>
      <w:r>
        <w:rPr>
          <w:rFonts w:ascii="Times New Roman" w:hAnsi="Times New Roman" w:cs="Times New Roman"/>
          <w:sz w:val="24"/>
          <w:szCs w:val="24"/>
          <w:lang w:val="en-US"/>
        </w:rPr>
        <w:t xml:space="preserve"> within which an application must be approved or refused. Where there is a refusal, it  should be communicated in writing and it should contain reasons. Where the authority fails to determine the application within the prescribed period, the application should be approved conditionally, provided that all documents and fees have been submitted. States should establish electronic portals. Through this, applicants may process applications. </w:t>
      </w:r>
    </w:p>
    <w:p w14:paraId="7DFE2F3D">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Strengthen the Procedure for Revocation</w:t>
      </w:r>
    </w:p>
    <w:p w14:paraId="1B673E7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Under Section 28, “overriding public interest” would be defined precisely. Revocation should be permitted only for an identified and genuine public purpose. The government should not revoke land from one person and reallocate it to another private person for commercial or political benefit. Before revocation, the holder should receive written notice. This should state the legal ground, the specific public purpose and the proposed use of the land. Except in cases of emergency, the holder and affected community should be given an opportunity to make representations. The government should also be required to show that less intrusive alternatives were considered. Every notice for revocation should be published in an official gazette and recorded in the land registry. Where the land is not used for the stated public purpose within a prescribed period, the former holder should possess a right of first refusal or a right to restoration of the land upon repayment of compensation received. This would discourage speculative acquisition and abuse of executive power.</w:t>
      </w:r>
    </w:p>
    <w:p w14:paraId="62D4DBB5">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Provide Adequate and Comprehensive Compensation</w:t>
      </w:r>
    </w:p>
    <w:p w14:paraId="1AFDA59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Section 29 should be amended so that compensation would be based on the fair market value of the interest acquired and not on rent paid or the value of unexhausted improvements. The compensation should cover the value of the land, buildings, crops and installations, as well as the expenses of relocation, loss of business, disturbance, severance, loss of livelihood and other foreseeable losses which result from the acquisition. Valuation should be undertaken by estate surveyors and valuers independently. This should be done through transparent and current standards for valuation. The affected person should receive the report of the valuation and may also challenge it before a tribunal or court which must be independent. In addition, compensation should be paid timely. Where payment is delayed, interest should accrue until the full amount is paid. Resettlement should not be imposed as a substitute for monetary compensation unless the affected person or community gives informed consent. </w:t>
      </w:r>
    </w:p>
    <w:p w14:paraId="0FC66ED8">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Protect Access to the Courts</w:t>
      </w:r>
    </w:p>
    <w:p w14:paraId="4A9717E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Section 47 should be repealed or amended substantially so as to remove any provision that appears to prevent courts from examining the legality of revocation, acquisition or compensation. Every person affected by an administrative decision on land should have access to an independent court or tribunal. The courts should be empowered to determine whether the executive acted within its powers, complied with the requirements for notice, established a genuine public purpose and provided adequate compensation. There is need for a specialised land divisions within State High Courts to determine land disputes more efficiently. Judges and court personnel in these divisions should receive regular training in land law, customary tenure, valuation and land-registration. </w:t>
      </w:r>
    </w:p>
    <w:p w14:paraId="217CE50B">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Digitisation and Coordination of Institution</w:t>
      </w:r>
    </w:p>
    <w:p w14:paraId="4F6B8E9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State Ministries of Lands, Local Governments, survey departments, planning agencies and land registries should establish digital systems for land-information. Paper records which already exist should be scanned, indexed and linked to verified geographic coordinates. A unified platform should be utilised for applying for allocation, consent, searches, registration and certificates. Each application should be assigned a tracking number. In addition, fees, documents and processing timelines should be published. Regular audits should be conducted so as to identify duplicate allocations and unlawful transactions. Disciplinary and criminal sanctions should be taken against public officers who are responsible for unjustified delay, record manipulation or unauthorised allocation. </w:t>
      </w:r>
    </w:p>
    <w:p w14:paraId="6C4A2E83">
      <w:pPr>
        <w:pStyle w:val="3"/>
        <w:rPr>
          <w:lang w:val="en-US"/>
        </w:rPr>
      </w:pPr>
      <w:bookmarkStart w:id="146" w:name="_Toc232552318"/>
      <w:bookmarkStart w:id="147" w:name="_Toc232552976"/>
      <w:r>
        <w:rPr>
          <w:lang w:val="en-US"/>
        </w:rPr>
        <w:t xml:space="preserve">5.3 </w:t>
      </w:r>
      <w:r>
        <w:rPr>
          <w:lang w:val="en-US"/>
        </w:rPr>
        <w:tab/>
      </w:r>
      <w:r>
        <w:rPr>
          <w:lang w:val="en-US"/>
        </w:rPr>
        <w:t>Conclusion</w:t>
      </w:r>
      <w:bookmarkEnd w:id="146"/>
      <w:bookmarkEnd w:id="147"/>
    </w:p>
    <w:p w14:paraId="74E75AD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research appraised the Land Use Act, Cap L5, Laws of the Federation of Nigeria 2004, its legislative provisions, institutional structure and operation in practice. The study established that the Act provides a structure for vesting, allocation, alienation, revocation, compensation and adjudication. Nevertheless, there are substantial defects in the operation of the Act. The act is also weakened by institutional inadequacies. More so, Section 47 also creates uncertainty concerning judicial scrutiny. Section 315(5)(d) of the Constitution makes legislative reform exceptionally difficult. In light of the above, there is a need to considered the recommendations which are proposed in this study.</w:t>
      </w:r>
    </w:p>
    <w:p w14:paraId="77D17ED8">
      <w:pPr>
        <w:pStyle w:val="2"/>
        <w:rPr>
          <w:lang w:val="en-US"/>
        </w:rPr>
      </w:pPr>
      <w:bookmarkStart w:id="148" w:name="_Toc232552977"/>
    </w:p>
    <w:p w14:paraId="72E19137">
      <w:pPr>
        <w:pStyle w:val="2"/>
        <w:rPr>
          <w:lang w:val="en-US"/>
        </w:rPr>
      </w:pPr>
    </w:p>
    <w:p w14:paraId="4621DA68">
      <w:pPr>
        <w:pStyle w:val="2"/>
        <w:rPr>
          <w:lang w:val="en-US"/>
        </w:rPr>
      </w:pPr>
      <w:r>
        <w:rPr>
          <w:lang w:val="en-US"/>
        </w:rPr>
        <w:t>BIBLIOGRAPHY</w:t>
      </w:r>
      <w:bookmarkEnd w:id="148"/>
    </w:p>
    <w:p w14:paraId="1BC49E1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Books</w:t>
      </w:r>
    </w:p>
    <w:p w14:paraId="60F2088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Aquinas, T, </w:t>
      </w:r>
      <w:r>
        <w:rPr>
          <w:rFonts w:ascii="Times New Roman" w:hAnsi="Times New Roman" w:cs="Times New Roman"/>
          <w:i/>
          <w:iCs/>
          <w:sz w:val="24"/>
          <w:szCs w:val="24"/>
          <w:lang w:val="en-US"/>
        </w:rPr>
        <w:t>Summa Theologiae</w:t>
      </w:r>
      <w:r>
        <w:rPr>
          <w:rFonts w:ascii="Times New Roman" w:hAnsi="Times New Roman" w:cs="Times New Roman"/>
          <w:sz w:val="24"/>
          <w:szCs w:val="24"/>
          <w:lang w:val="en-US"/>
        </w:rPr>
        <w:t xml:space="preserve"> I–II, q 90, art 4.</w:t>
      </w:r>
    </w:p>
    <w:p w14:paraId="403D64D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Austin, J, </w:t>
      </w:r>
      <w:r>
        <w:rPr>
          <w:rFonts w:ascii="Times New Roman" w:hAnsi="Times New Roman" w:cs="Times New Roman"/>
          <w:i/>
          <w:iCs/>
          <w:sz w:val="24"/>
          <w:szCs w:val="24"/>
          <w:lang w:val="en-US"/>
        </w:rPr>
        <w:t>The Province of Jurisprudence Determined</w:t>
      </w:r>
      <w:r>
        <w:rPr>
          <w:rFonts w:ascii="Times New Roman" w:hAnsi="Times New Roman" w:cs="Times New Roman"/>
          <w:sz w:val="24"/>
          <w:szCs w:val="24"/>
          <w:lang w:val="en-US"/>
        </w:rPr>
        <w:t xml:space="preserve"> (J Murray 1832).</w:t>
      </w:r>
    </w:p>
    <w:p w14:paraId="0E52E22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Finnis, J, </w:t>
      </w:r>
      <w:r>
        <w:rPr>
          <w:rFonts w:ascii="Times New Roman" w:hAnsi="Times New Roman" w:cs="Times New Roman"/>
          <w:i/>
          <w:iCs/>
          <w:sz w:val="24"/>
          <w:szCs w:val="24"/>
          <w:lang w:val="en-US"/>
        </w:rPr>
        <w:t>Natural Law and Natural Rights</w:t>
      </w:r>
      <w:r>
        <w:rPr>
          <w:rFonts w:ascii="Times New Roman" w:hAnsi="Times New Roman" w:cs="Times New Roman"/>
          <w:sz w:val="24"/>
          <w:szCs w:val="24"/>
          <w:lang w:val="en-US"/>
        </w:rPr>
        <w:t xml:space="preserve"> (2nd edn, Oxford University Press 2011).</w:t>
      </w:r>
    </w:p>
    <w:p w14:paraId="1CBBB02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Hart, HLA, </w:t>
      </w:r>
      <w:r>
        <w:rPr>
          <w:rFonts w:ascii="Times New Roman" w:hAnsi="Times New Roman" w:cs="Times New Roman"/>
          <w:i/>
          <w:iCs/>
          <w:sz w:val="24"/>
          <w:szCs w:val="24"/>
          <w:lang w:val="en-US"/>
        </w:rPr>
        <w:t>The Concept of Law</w:t>
      </w:r>
      <w:r>
        <w:rPr>
          <w:rFonts w:ascii="Times New Roman" w:hAnsi="Times New Roman" w:cs="Times New Roman"/>
          <w:sz w:val="24"/>
          <w:szCs w:val="24"/>
          <w:lang w:val="en-US"/>
        </w:rPr>
        <w:t xml:space="preserve"> (3rd edn, Oxford University Press 2012).</w:t>
      </w:r>
    </w:p>
    <w:p w14:paraId="6762109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Holmes Jr, OW, </w:t>
      </w:r>
      <w:r>
        <w:rPr>
          <w:rFonts w:ascii="Times New Roman" w:hAnsi="Times New Roman" w:cs="Times New Roman"/>
          <w:i/>
          <w:iCs/>
          <w:sz w:val="24"/>
          <w:szCs w:val="24"/>
          <w:lang w:val="en-US"/>
        </w:rPr>
        <w:t>The Common Law</w:t>
      </w:r>
      <w:r>
        <w:rPr>
          <w:rFonts w:ascii="Times New Roman" w:hAnsi="Times New Roman" w:cs="Times New Roman"/>
          <w:sz w:val="24"/>
          <w:szCs w:val="24"/>
          <w:lang w:val="en-US"/>
        </w:rPr>
        <w:t xml:space="preserve"> (Little, Brown and Company 1881).</w:t>
      </w:r>
    </w:p>
    <w:p w14:paraId="3823B98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Kelsen, H, </w:t>
      </w:r>
      <w:r>
        <w:rPr>
          <w:rFonts w:ascii="Times New Roman" w:hAnsi="Times New Roman" w:cs="Times New Roman"/>
          <w:i/>
          <w:iCs/>
          <w:sz w:val="24"/>
          <w:szCs w:val="24"/>
          <w:lang w:val="en-US"/>
        </w:rPr>
        <w:t>Pure Theory of Law</w:t>
      </w:r>
      <w:r>
        <w:rPr>
          <w:rFonts w:ascii="Times New Roman" w:hAnsi="Times New Roman" w:cs="Times New Roman"/>
          <w:sz w:val="24"/>
          <w:szCs w:val="24"/>
          <w:lang w:val="en-US"/>
        </w:rPr>
        <w:t xml:space="preserve"> (M Knight tr, University of California Press 1967).</w:t>
      </w:r>
    </w:p>
    <w:p w14:paraId="4D90C11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Llewellyn, KN, </w:t>
      </w:r>
      <w:r>
        <w:rPr>
          <w:rFonts w:ascii="Times New Roman" w:hAnsi="Times New Roman" w:cs="Times New Roman"/>
          <w:i/>
          <w:iCs/>
          <w:sz w:val="24"/>
          <w:szCs w:val="24"/>
          <w:lang w:val="en-US"/>
        </w:rPr>
        <w:t>The Bramble Bush: On Our Law and Its Study</w:t>
      </w:r>
      <w:r>
        <w:rPr>
          <w:rFonts w:ascii="Times New Roman" w:hAnsi="Times New Roman" w:cs="Times New Roman"/>
          <w:sz w:val="24"/>
          <w:szCs w:val="24"/>
          <w:lang w:val="en-US"/>
        </w:rPr>
        <w:t xml:space="preserve"> (Oceana Publications 1951).</w:t>
      </w:r>
    </w:p>
    <w:p w14:paraId="454B60E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Megarry, B and W Wade, </w:t>
      </w:r>
      <w:r>
        <w:rPr>
          <w:rFonts w:ascii="Times New Roman" w:hAnsi="Times New Roman" w:cs="Times New Roman"/>
          <w:i/>
          <w:iCs/>
          <w:sz w:val="24"/>
          <w:szCs w:val="24"/>
          <w:lang w:val="en-US"/>
        </w:rPr>
        <w:t>The Law of Real Property</w:t>
      </w:r>
      <w:r>
        <w:rPr>
          <w:rFonts w:ascii="Times New Roman" w:hAnsi="Times New Roman" w:cs="Times New Roman"/>
          <w:sz w:val="24"/>
          <w:szCs w:val="24"/>
          <w:lang w:val="en-US"/>
        </w:rPr>
        <w:t xml:space="preserve"> (9th edn, Sweet &amp; Maxwell 2019).</w:t>
      </w:r>
    </w:p>
    <w:p w14:paraId="77D21CF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Nwabueze, BO, </w:t>
      </w:r>
      <w:r>
        <w:rPr>
          <w:rFonts w:ascii="Times New Roman" w:hAnsi="Times New Roman" w:cs="Times New Roman"/>
          <w:i/>
          <w:iCs/>
          <w:sz w:val="24"/>
          <w:szCs w:val="24"/>
          <w:lang w:val="en-US"/>
        </w:rPr>
        <w:t>Nigerian Land Law</w:t>
      </w:r>
      <w:r>
        <w:rPr>
          <w:rFonts w:ascii="Times New Roman" w:hAnsi="Times New Roman" w:cs="Times New Roman"/>
          <w:sz w:val="24"/>
          <w:szCs w:val="24"/>
          <w:lang w:val="en-US"/>
        </w:rPr>
        <w:t xml:space="preserve"> (Nwamife Publishers 1972).</w:t>
      </w:r>
    </w:p>
    <w:p w14:paraId="52AE2AC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Omotola, JA, </w:t>
      </w:r>
      <w:r>
        <w:rPr>
          <w:rFonts w:ascii="Times New Roman" w:hAnsi="Times New Roman" w:cs="Times New Roman"/>
          <w:i/>
          <w:iCs/>
          <w:sz w:val="24"/>
          <w:szCs w:val="24"/>
          <w:lang w:val="en-US"/>
        </w:rPr>
        <w:t>Essays on the Land Use Act 1978</w:t>
      </w:r>
      <w:r>
        <w:rPr>
          <w:rFonts w:ascii="Times New Roman" w:hAnsi="Times New Roman" w:cs="Times New Roman"/>
          <w:sz w:val="24"/>
          <w:szCs w:val="24"/>
          <w:lang w:val="en-US"/>
        </w:rPr>
        <w:t xml:space="preserve"> (Lagos University Press 1984).</w:t>
      </w:r>
    </w:p>
    <w:p w14:paraId="7EAB5E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Pound, R, </w:t>
      </w:r>
      <w:r>
        <w:rPr>
          <w:rFonts w:ascii="Times New Roman" w:hAnsi="Times New Roman" w:cs="Times New Roman"/>
          <w:i/>
          <w:iCs/>
          <w:sz w:val="24"/>
          <w:szCs w:val="24"/>
          <w:lang w:val="en-US"/>
        </w:rPr>
        <w:t>An Introduction to the Philosophy of Law</w:t>
      </w:r>
      <w:r>
        <w:rPr>
          <w:rFonts w:ascii="Times New Roman" w:hAnsi="Times New Roman" w:cs="Times New Roman"/>
          <w:sz w:val="24"/>
          <w:szCs w:val="24"/>
          <w:lang w:val="en-US"/>
        </w:rPr>
        <w:t xml:space="preserve"> (Yale University Press 1922).</w:t>
      </w:r>
    </w:p>
    <w:p w14:paraId="0F57D7D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Pound, R, </w:t>
      </w:r>
      <w:r>
        <w:rPr>
          <w:rFonts w:ascii="Times New Roman" w:hAnsi="Times New Roman" w:cs="Times New Roman"/>
          <w:i/>
          <w:iCs/>
          <w:sz w:val="24"/>
          <w:szCs w:val="24"/>
          <w:lang w:val="en-US"/>
        </w:rPr>
        <w:t>Social Control through Law</w:t>
      </w:r>
      <w:r>
        <w:rPr>
          <w:rFonts w:ascii="Times New Roman" w:hAnsi="Times New Roman" w:cs="Times New Roman"/>
          <w:sz w:val="24"/>
          <w:szCs w:val="24"/>
          <w:lang w:val="en-US"/>
        </w:rPr>
        <w:t xml:space="preserve"> (Yale University Press 1942).</w:t>
      </w:r>
    </w:p>
    <w:p w14:paraId="37FF193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Underhill and Hayton, </w:t>
      </w:r>
      <w:r>
        <w:rPr>
          <w:rFonts w:ascii="Times New Roman" w:hAnsi="Times New Roman" w:cs="Times New Roman"/>
          <w:i/>
          <w:iCs/>
          <w:sz w:val="24"/>
          <w:szCs w:val="24"/>
          <w:lang w:val="en-US"/>
        </w:rPr>
        <w:t>Law Relating to Trusts and Trustees</w:t>
      </w:r>
      <w:r>
        <w:rPr>
          <w:rFonts w:ascii="Times New Roman" w:hAnsi="Times New Roman" w:cs="Times New Roman"/>
          <w:sz w:val="24"/>
          <w:szCs w:val="24"/>
          <w:lang w:val="en-US"/>
        </w:rPr>
        <w:t xml:space="preserve"> (20th edn, LexisNexis 2022).</w:t>
      </w:r>
    </w:p>
    <w:p w14:paraId="5076ED81">
      <w:pPr>
        <w:spacing w:line="480" w:lineRule="auto"/>
        <w:rPr>
          <w:rFonts w:ascii="Times New Roman" w:hAnsi="Times New Roman" w:cs="Times New Roman"/>
          <w:b/>
          <w:bCs/>
          <w:sz w:val="24"/>
          <w:szCs w:val="24"/>
          <w:lang w:val="en-US"/>
        </w:rPr>
      </w:pPr>
    </w:p>
    <w:p w14:paraId="7D82533D">
      <w:pPr>
        <w:spacing w:line="480" w:lineRule="auto"/>
        <w:rPr>
          <w:rFonts w:ascii="Times New Roman" w:hAnsi="Times New Roman" w:cs="Times New Roman"/>
          <w:b/>
          <w:bCs/>
          <w:sz w:val="24"/>
          <w:szCs w:val="24"/>
          <w:lang w:val="en-US"/>
        </w:rPr>
      </w:pPr>
    </w:p>
    <w:p w14:paraId="0BC04226">
      <w:pPr>
        <w:spacing w:line="480" w:lineRule="auto"/>
        <w:rPr>
          <w:rFonts w:ascii="Times New Roman" w:hAnsi="Times New Roman" w:cs="Times New Roman"/>
          <w:b/>
          <w:bCs/>
          <w:sz w:val="24"/>
          <w:szCs w:val="24"/>
          <w:lang w:val="en-US"/>
        </w:rPr>
      </w:pPr>
    </w:p>
    <w:p w14:paraId="69B6705D">
      <w:pPr>
        <w:spacing w:line="480" w:lineRule="auto"/>
        <w:rPr>
          <w:rFonts w:ascii="Times New Roman" w:hAnsi="Times New Roman" w:cs="Times New Roman"/>
          <w:b/>
          <w:bCs/>
          <w:sz w:val="24"/>
          <w:szCs w:val="24"/>
          <w:lang w:val="en-US"/>
        </w:rPr>
      </w:pPr>
    </w:p>
    <w:p w14:paraId="17018158">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Journals</w:t>
      </w:r>
    </w:p>
    <w:p w14:paraId="2FCBD37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Agbor, EC, ‘The Land Use Act and Pre-Existing Rights in Land in Nigeria’ [2021] (7)(1) </w:t>
      </w:r>
      <w:r>
        <w:rPr>
          <w:rFonts w:ascii="Times New Roman" w:hAnsi="Times New Roman" w:cs="Times New Roman"/>
          <w:i/>
          <w:iCs/>
          <w:sz w:val="24"/>
          <w:szCs w:val="24"/>
          <w:lang w:val="en-US"/>
        </w:rPr>
        <w:t>African Journal of Law and Human Rights</w:t>
      </w:r>
      <w:r>
        <w:rPr>
          <w:rFonts w:ascii="Times New Roman" w:hAnsi="Times New Roman" w:cs="Times New Roman"/>
          <w:sz w:val="24"/>
          <w:szCs w:val="24"/>
          <w:lang w:val="en-US"/>
        </w:rPr>
        <w:t xml:space="preserve"> 1 </w:t>
      </w:r>
      <w:r>
        <w:fldChar w:fldCharType="begin"/>
      </w:r>
      <w:r>
        <w:instrText xml:space="preserve"> HYPERLINK "https://www.ezenwaohaetorc.org/journals/index.php/AJLHR" </w:instrText>
      </w:r>
      <w:r>
        <w:fldChar w:fldCharType="separate"/>
      </w:r>
      <w:r>
        <w:rPr>
          <w:rStyle w:val="23"/>
          <w:rFonts w:ascii="Times New Roman" w:hAnsi="Times New Roman" w:cs="Times New Roman"/>
          <w:sz w:val="24"/>
          <w:szCs w:val="24"/>
          <w:lang w:val="en-US"/>
        </w:rPr>
        <w:t>https://www.ezenwaohaetorc.org/journals/index.php/AJLHR</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397CC63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Agwor, CIG and N Amadi-Harry, ‘Consent of the Governor in Land Transactions: Whose Duty and When’ [2024] (10) </w:t>
      </w:r>
      <w:r>
        <w:rPr>
          <w:rFonts w:ascii="Times New Roman" w:hAnsi="Times New Roman" w:cs="Times New Roman"/>
          <w:i/>
          <w:iCs/>
          <w:sz w:val="24"/>
          <w:szCs w:val="24"/>
          <w:lang w:val="en-US"/>
        </w:rPr>
        <w:t>Imo State University Journal of Commercial and Contemporary Law</w:t>
      </w:r>
      <w:r>
        <w:rPr>
          <w:rFonts w:ascii="Times New Roman" w:hAnsi="Times New Roman" w:cs="Times New Roman"/>
          <w:sz w:val="24"/>
          <w:szCs w:val="24"/>
          <w:lang w:val="en-US"/>
        </w:rPr>
        <w:t xml:space="preserve"> 1 </w:t>
      </w:r>
      <w:r>
        <w:fldChar w:fldCharType="begin"/>
      </w:r>
      <w:r>
        <w:instrText xml:space="preserve"> HYPERLINK "https://www.nigerianjournalsonline.com/index.php/JCCL/article/view/5681" </w:instrText>
      </w:r>
      <w:r>
        <w:fldChar w:fldCharType="separate"/>
      </w:r>
      <w:r>
        <w:rPr>
          <w:rStyle w:val="23"/>
          <w:rFonts w:ascii="Times New Roman" w:hAnsi="Times New Roman" w:cs="Times New Roman"/>
          <w:sz w:val="24"/>
          <w:szCs w:val="24"/>
          <w:lang w:val="en-US"/>
        </w:rPr>
        <w:t>https://www.nigerianjournalsonline.com/index.php/JCCL/article/view/5681</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02CDE09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Amadi, FC and CIG Agwor, ‘Transfer of Interest in Land and Governor’s Consent under the Land Use Act: Some Emerging Issues’ [2022] (18)(1) </w:t>
      </w:r>
      <w:r>
        <w:rPr>
          <w:rFonts w:ascii="Times New Roman" w:hAnsi="Times New Roman" w:cs="Times New Roman"/>
          <w:i/>
          <w:iCs/>
          <w:sz w:val="24"/>
          <w:szCs w:val="24"/>
          <w:lang w:val="en-US"/>
        </w:rPr>
        <w:t>Journal of Private and Property Law</w:t>
      </w:r>
      <w:r>
        <w:rPr>
          <w:rFonts w:ascii="Times New Roman" w:hAnsi="Times New Roman" w:cs="Times New Roman"/>
          <w:sz w:val="24"/>
          <w:szCs w:val="24"/>
          <w:lang w:val="en-US"/>
        </w:rPr>
        <w:t xml:space="preserve"> 100 </w:t>
      </w:r>
      <w:r>
        <w:fldChar w:fldCharType="begin"/>
      </w:r>
      <w:r>
        <w:instrText xml:space="preserve"> HYPERLINK "https://www.nigerianjournalsonline.com/index.php/PORTLAW/article/download/3430/3342" </w:instrText>
      </w:r>
      <w:r>
        <w:fldChar w:fldCharType="separate"/>
      </w:r>
      <w:r>
        <w:rPr>
          <w:rStyle w:val="23"/>
          <w:rFonts w:ascii="Times New Roman" w:hAnsi="Times New Roman" w:cs="Times New Roman"/>
          <w:sz w:val="24"/>
          <w:szCs w:val="24"/>
          <w:lang w:val="en-US"/>
        </w:rPr>
        <w:t>https://www.nigerianjournalsonline.com/index.php/PORTLAW/article/download/3430/3342</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F2EA15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Emudainohwo, E, ‘A Critical Appraisal of the Procedure for Revocation of Rights of Occupancy under the Land Use Act’ [2021] (9) </w:t>
      </w:r>
      <w:r>
        <w:rPr>
          <w:rFonts w:ascii="Times New Roman" w:hAnsi="Times New Roman" w:cs="Times New Roman"/>
          <w:i/>
          <w:iCs/>
          <w:sz w:val="24"/>
          <w:szCs w:val="24"/>
          <w:lang w:val="en-US"/>
        </w:rPr>
        <w:t>Beijing Law Review</w:t>
      </w:r>
      <w:r>
        <w:rPr>
          <w:rFonts w:ascii="Times New Roman" w:hAnsi="Times New Roman" w:cs="Times New Roman"/>
          <w:sz w:val="24"/>
          <w:szCs w:val="24"/>
          <w:lang w:val="en-US"/>
        </w:rPr>
        <w:t xml:space="preserve"> 1 </w:t>
      </w:r>
      <w:r>
        <w:fldChar w:fldCharType="begin"/>
      </w:r>
      <w:r>
        <w:instrText xml:space="preserve"> HYPERLINK "https://www.scirp.org/journal/paperinformation?paperid=109052" </w:instrText>
      </w:r>
      <w:r>
        <w:fldChar w:fldCharType="separate"/>
      </w:r>
      <w:r>
        <w:rPr>
          <w:rStyle w:val="23"/>
          <w:rFonts w:ascii="Times New Roman" w:hAnsi="Times New Roman" w:cs="Times New Roman"/>
          <w:sz w:val="24"/>
          <w:szCs w:val="24"/>
          <w:lang w:val="en-US"/>
        </w:rPr>
        <w:t>https://www.scirp.org/journal/paperinformation?paperid=109052</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AEFF97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Ekpo, I, EM Adam and EW Obilor, ‘Interrogating Trust Provisions under Contemporary Nigeria Legal System’ [2023] (5)(2) </w:t>
      </w:r>
      <w:r>
        <w:rPr>
          <w:rFonts w:ascii="Times New Roman" w:hAnsi="Times New Roman" w:cs="Times New Roman"/>
          <w:i/>
          <w:iCs/>
          <w:sz w:val="24"/>
          <w:szCs w:val="24"/>
          <w:lang w:val="en-US"/>
        </w:rPr>
        <w:t>International Review of Law and Jurisprudence</w:t>
      </w:r>
      <w:r>
        <w:rPr>
          <w:rFonts w:ascii="Times New Roman" w:hAnsi="Times New Roman" w:cs="Times New Roman"/>
          <w:sz w:val="24"/>
          <w:szCs w:val="24"/>
          <w:lang w:val="en-US"/>
        </w:rPr>
        <w:t xml:space="preserve"> 76 </w:t>
      </w:r>
      <w:r>
        <w:fldChar w:fldCharType="begin"/>
      </w:r>
      <w:r>
        <w:instrText xml:space="preserve"> HYPERLINK "https://www.nigerianjournalsonline.com/index.php/IRLJ/article/view/4094" </w:instrText>
      </w:r>
      <w:r>
        <w:fldChar w:fldCharType="separate"/>
      </w:r>
      <w:r>
        <w:rPr>
          <w:rStyle w:val="23"/>
          <w:rFonts w:ascii="Times New Roman" w:hAnsi="Times New Roman" w:cs="Times New Roman"/>
          <w:sz w:val="24"/>
          <w:szCs w:val="24"/>
          <w:lang w:val="en-US"/>
        </w:rPr>
        <w:t>https://www.nigerianjournalsonline.com/index.php/IRLJ/article/view/4094</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53434FC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Frank-Igwe, U and CIG Agwor, ‘A Re-examination of the Jurisprudence and Sale of Family Land in Nigeria’ [2023] (19)(1) </w:t>
      </w:r>
      <w:r>
        <w:rPr>
          <w:rFonts w:ascii="Times New Roman" w:hAnsi="Times New Roman" w:cs="Times New Roman"/>
          <w:i/>
          <w:iCs/>
          <w:sz w:val="24"/>
          <w:szCs w:val="24"/>
          <w:lang w:val="en-US"/>
        </w:rPr>
        <w:t>Journal of Private and Property Law</w:t>
      </w:r>
      <w:r>
        <w:rPr>
          <w:rFonts w:ascii="Times New Roman" w:hAnsi="Times New Roman" w:cs="Times New Roman"/>
          <w:sz w:val="24"/>
          <w:szCs w:val="24"/>
          <w:lang w:val="en-US"/>
        </w:rPr>
        <w:t xml:space="preserve"> 54 </w:t>
      </w:r>
      <w:r>
        <w:fldChar w:fldCharType="begin"/>
      </w:r>
      <w:r>
        <w:instrText xml:space="preserve"> HYPERLINK "https://www.nigerianjournalsonline.com/index.php/PORTLAW" </w:instrText>
      </w:r>
      <w:r>
        <w:fldChar w:fldCharType="separate"/>
      </w:r>
      <w:r>
        <w:rPr>
          <w:rStyle w:val="23"/>
          <w:rFonts w:ascii="Times New Roman" w:hAnsi="Times New Roman" w:cs="Times New Roman"/>
          <w:sz w:val="24"/>
          <w:szCs w:val="24"/>
          <w:lang w:val="en-US"/>
        </w:rPr>
        <w:t>https://www.nigerianjournalsonline.com/index.php/PORTLAW</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585892E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Hutchinson, T and N Duncan, ‘Defining and Describing What We Do: Doctrinal Legal Research’ [2012] (17)(1) </w:t>
      </w:r>
      <w:r>
        <w:rPr>
          <w:rFonts w:ascii="Times New Roman" w:hAnsi="Times New Roman" w:cs="Times New Roman"/>
          <w:i/>
          <w:iCs/>
          <w:sz w:val="24"/>
          <w:szCs w:val="24"/>
          <w:lang w:val="en-US"/>
        </w:rPr>
        <w:t>Deakin Law Review</w:t>
      </w:r>
      <w:r>
        <w:rPr>
          <w:rFonts w:ascii="Times New Roman" w:hAnsi="Times New Roman" w:cs="Times New Roman"/>
          <w:sz w:val="24"/>
          <w:szCs w:val="24"/>
          <w:lang w:val="en-US"/>
        </w:rPr>
        <w:t xml:space="preserve"> 83 </w:t>
      </w:r>
      <w:r>
        <w:fldChar w:fldCharType="begin"/>
      </w:r>
      <w:r>
        <w:instrText xml:space="preserve"> HYPERLINK "https://ojs.deakin.edu.au/index.php/dlr/article/view/70" </w:instrText>
      </w:r>
      <w:r>
        <w:fldChar w:fldCharType="separate"/>
      </w:r>
      <w:r>
        <w:rPr>
          <w:rStyle w:val="23"/>
          <w:rFonts w:ascii="Times New Roman" w:hAnsi="Times New Roman" w:cs="Times New Roman"/>
          <w:sz w:val="24"/>
          <w:szCs w:val="24"/>
          <w:lang w:val="en-US"/>
        </w:rPr>
        <w:t>https://ojs.deakin.edu.au/index.php/dlr/article/view/70</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5908B3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John, J and A Bello, ‘Land Governance and Sustainable Land Management in Nigeria’ [2024] (8)(4) </w:t>
      </w:r>
      <w:r>
        <w:rPr>
          <w:rFonts w:ascii="Times New Roman" w:hAnsi="Times New Roman" w:cs="Times New Roman"/>
          <w:i/>
          <w:iCs/>
          <w:sz w:val="24"/>
          <w:szCs w:val="24"/>
          <w:lang w:val="en-US"/>
        </w:rPr>
        <w:t>International Journal of Research and Innovation in Social Science</w:t>
      </w:r>
      <w:r>
        <w:rPr>
          <w:rFonts w:ascii="Times New Roman" w:hAnsi="Times New Roman" w:cs="Times New Roman"/>
          <w:sz w:val="24"/>
          <w:szCs w:val="24"/>
          <w:lang w:val="en-US"/>
        </w:rPr>
        <w:t xml:space="preserve"> 1200 </w:t>
      </w:r>
      <w:r>
        <w:fldChar w:fldCharType="begin"/>
      </w:r>
      <w:r>
        <w:instrText xml:space="preserve"> HYPERLINK "https://rsisinternational.org/journals/ijriss/" </w:instrText>
      </w:r>
      <w:r>
        <w:fldChar w:fldCharType="separate"/>
      </w:r>
      <w:r>
        <w:rPr>
          <w:rStyle w:val="23"/>
          <w:rFonts w:ascii="Times New Roman" w:hAnsi="Times New Roman" w:cs="Times New Roman"/>
          <w:sz w:val="24"/>
          <w:szCs w:val="24"/>
          <w:lang w:val="en-US"/>
        </w:rPr>
        <w:t>https://rsisinternational.org/journals/ijriss/</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3DE12B0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Onah, CA, ‘Justifying the Requirement of Consent under the Land Use Act: A Historical and Equitable Perspective’ [2022] (13)(2) </w:t>
      </w:r>
      <w:r>
        <w:rPr>
          <w:rFonts w:ascii="Times New Roman" w:hAnsi="Times New Roman" w:cs="Times New Roman"/>
          <w:i/>
          <w:iCs/>
          <w:sz w:val="24"/>
          <w:szCs w:val="24"/>
          <w:lang w:val="en-US"/>
        </w:rPr>
        <w:t>Nnamdi Azikiwe University Journal of International Law and Jurisprudence</w:t>
      </w:r>
      <w:r>
        <w:rPr>
          <w:rFonts w:ascii="Times New Roman" w:hAnsi="Times New Roman" w:cs="Times New Roman"/>
          <w:sz w:val="24"/>
          <w:szCs w:val="24"/>
          <w:lang w:val="en-US"/>
        </w:rPr>
        <w:t xml:space="preserve"> 107 </w:t>
      </w:r>
      <w:r>
        <w:fldChar w:fldCharType="begin"/>
      </w:r>
      <w:r>
        <w:instrText xml:space="preserve"> HYPERLINK "https://www.nigerianjournalsonline.com/index.php/NAUJILJ" </w:instrText>
      </w:r>
      <w:r>
        <w:fldChar w:fldCharType="separate"/>
      </w:r>
      <w:r>
        <w:rPr>
          <w:rStyle w:val="23"/>
          <w:rFonts w:ascii="Times New Roman" w:hAnsi="Times New Roman" w:cs="Times New Roman"/>
          <w:sz w:val="24"/>
          <w:szCs w:val="24"/>
          <w:lang w:val="en-US"/>
        </w:rPr>
        <w:t>https://www.nigerianjournalsonline.com/index.php/NAUJILJ</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023C236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Onah, DO, ‘Overriding Public Purpose and Compensation for Compulsory Acquisition of Land under the Land Use Act: A Legal Evaluation’ [2022] (18)(1) </w:t>
      </w:r>
      <w:r>
        <w:rPr>
          <w:rFonts w:ascii="Times New Roman" w:hAnsi="Times New Roman" w:cs="Times New Roman"/>
          <w:i/>
          <w:iCs/>
          <w:sz w:val="24"/>
          <w:szCs w:val="24"/>
          <w:lang w:val="en-US"/>
        </w:rPr>
        <w:t>Journal of Private and Property Law</w:t>
      </w:r>
      <w:r>
        <w:rPr>
          <w:rFonts w:ascii="Times New Roman" w:hAnsi="Times New Roman" w:cs="Times New Roman"/>
          <w:sz w:val="24"/>
          <w:szCs w:val="24"/>
          <w:lang w:val="en-US"/>
        </w:rPr>
        <w:t xml:space="preserve"> 100 </w:t>
      </w:r>
      <w:r>
        <w:fldChar w:fldCharType="begin"/>
      </w:r>
      <w:r>
        <w:instrText xml:space="preserve"> HYPERLINK "https://www.nigerianjournalsonline.com/index.php/PORTLAW" </w:instrText>
      </w:r>
      <w:r>
        <w:fldChar w:fldCharType="separate"/>
      </w:r>
      <w:r>
        <w:rPr>
          <w:rStyle w:val="23"/>
          <w:rFonts w:ascii="Times New Roman" w:hAnsi="Times New Roman" w:cs="Times New Roman"/>
          <w:sz w:val="24"/>
          <w:szCs w:val="24"/>
          <w:lang w:val="en-US"/>
        </w:rPr>
        <w:t>https://www.nigerianjournalsonline.com/index.php/PORTLAW</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5825FB6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Onyia, CI and FC Ezeodili, ‘The Land Use Act and Socio-Economic Development in Enugu State, Nigeria’ [2022] (20)(1) </w:t>
      </w:r>
      <w:r>
        <w:rPr>
          <w:rFonts w:ascii="Times New Roman" w:hAnsi="Times New Roman" w:cs="Times New Roman"/>
          <w:i/>
          <w:iCs/>
          <w:sz w:val="24"/>
          <w:szCs w:val="24"/>
          <w:lang w:val="en-US"/>
        </w:rPr>
        <w:t>African Journal of Law and Development Studies</w:t>
      </w:r>
      <w:r>
        <w:rPr>
          <w:rFonts w:ascii="Times New Roman" w:hAnsi="Times New Roman" w:cs="Times New Roman"/>
          <w:sz w:val="24"/>
          <w:szCs w:val="24"/>
          <w:lang w:val="en-US"/>
        </w:rPr>
        <w:t xml:space="preserve"> 55 </w:t>
      </w:r>
      <w:r>
        <w:fldChar w:fldCharType="begin"/>
      </w:r>
      <w:r>
        <w:instrText xml:space="preserve"> HYPERLINK "https://www.ajol.info/" </w:instrText>
      </w:r>
      <w:r>
        <w:fldChar w:fldCharType="separate"/>
      </w:r>
      <w:r>
        <w:rPr>
          <w:rStyle w:val="23"/>
          <w:rFonts w:ascii="Times New Roman" w:hAnsi="Times New Roman" w:cs="Times New Roman"/>
          <w:sz w:val="24"/>
          <w:szCs w:val="24"/>
          <w:lang w:val="en-US"/>
        </w:rPr>
        <w:t>https://www.ajol.info/</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442B97D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Otubu, AK, ‘Land Registration and Title Documentation in Lagos State: The Lands Registration Law 2015 in Perspective’ [2018] (5)(1) </w:t>
      </w:r>
      <w:r>
        <w:rPr>
          <w:rFonts w:ascii="Times New Roman" w:hAnsi="Times New Roman" w:cs="Times New Roman"/>
          <w:i/>
          <w:iCs/>
          <w:sz w:val="24"/>
          <w:szCs w:val="24"/>
          <w:lang w:val="en-US"/>
        </w:rPr>
        <w:t>Journal of Property Law</w:t>
      </w:r>
      <w:r>
        <w:rPr>
          <w:rFonts w:ascii="Times New Roman" w:hAnsi="Times New Roman" w:cs="Times New Roman"/>
          <w:sz w:val="24"/>
          <w:szCs w:val="24"/>
          <w:lang w:val="en-US"/>
        </w:rPr>
        <w:t xml:space="preserve"> 1.</w:t>
      </w:r>
    </w:p>
    <w:p w14:paraId="576CB44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Salawu, RO, ‘Land Use Act and Sustainable Rural Development in Nigeria’ [2023] (10)(1) </w:t>
      </w:r>
      <w:r>
        <w:rPr>
          <w:rFonts w:ascii="Times New Roman" w:hAnsi="Times New Roman" w:cs="Times New Roman"/>
          <w:i/>
          <w:iCs/>
          <w:sz w:val="24"/>
          <w:szCs w:val="24"/>
          <w:lang w:val="en-US"/>
        </w:rPr>
        <w:t>Journal of Political and Administrative Studies</w:t>
      </w:r>
      <w:r>
        <w:rPr>
          <w:rFonts w:ascii="Times New Roman" w:hAnsi="Times New Roman" w:cs="Times New Roman"/>
          <w:sz w:val="24"/>
          <w:szCs w:val="24"/>
          <w:lang w:val="en-US"/>
        </w:rPr>
        <w:t xml:space="preserve"> 1 </w:t>
      </w:r>
      <w:r>
        <w:fldChar w:fldCharType="begin"/>
      </w:r>
      <w:r>
        <w:instrText xml:space="preserve"> HYPERLINK "https://journals.uph.edu.ng/index.php/JPAS" </w:instrText>
      </w:r>
      <w:r>
        <w:fldChar w:fldCharType="separate"/>
      </w:r>
      <w:r>
        <w:rPr>
          <w:rStyle w:val="23"/>
          <w:rFonts w:ascii="Times New Roman" w:hAnsi="Times New Roman" w:cs="Times New Roman"/>
          <w:sz w:val="24"/>
          <w:szCs w:val="24"/>
          <w:lang w:val="en-US"/>
        </w:rPr>
        <w:t>https://journals.uph.edu.ng/index.php/JPAS</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004DB35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Ubanyionwu, CJ, ‘Examination of the Requirements for Public Purpose in the Acquisition of Land in Nigeria’ [2023] (5)(1) </w:t>
      </w:r>
      <w:r>
        <w:rPr>
          <w:rFonts w:ascii="Times New Roman" w:hAnsi="Times New Roman" w:cs="Times New Roman"/>
          <w:i/>
          <w:iCs/>
          <w:sz w:val="24"/>
          <w:szCs w:val="24"/>
          <w:lang w:val="en-US"/>
        </w:rPr>
        <w:t>Chukwuemeka Odumegwu Ojukwu University Journal of Private and Public Law</w:t>
      </w:r>
      <w:r>
        <w:rPr>
          <w:rFonts w:ascii="Times New Roman" w:hAnsi="Times New Roman" w:cs="Times New Roman"/>
          <w:sz w:val="24"/>
          <w:szCs w:val="24"/>
          <w:lang w:val="en-US"/>
        </w:rPr>
        <w:t xml:space="preserve"> 197 </w:t>
      </w:r>
      <w:r>
        <w:fldChar w:fldCharType="begin"/>
      </w:r>
      <w:r>
        <w:instrText xml:space="preserve"> HYPERLINK "https://www.nigerianjournalsonline.com/index.php/COOUJPPL/article/download/3967/3857" </w:instrText>
      </w:r>
      <w:r>
        <w:fldChar w:fldCharType="separate"/>
      </w:r>
      <w:r>
        <w:rPr>
          <w:rStyle w:val="23"/>
          <w:rFonts w:ascii="Times New Roman" w:hAnsi="Times New Roman" w:cs="Times New Roman"/>
          <w:sz w:val="24"/>
          <w:szCs w:val="24"/>
          <w:lang w:val="en-US"/>
        </w:rPr>
        <w:t>https://www.nigerianjournalsonline.com/index.php/COOUJPPL/article/download/3967/3857</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3FE68B8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Ugonabo, CU, CC Egolum and RO Sado, ‘Nigerian Land Policy: Issues, Challenges and the Way Forward’ [2023] (11)(4) </w:t>
      </w:r>
      <w:r>
        <w:rPr>
          <w:rFonts w:ascii="Times New Roman" w:hAnsi="Times New Roman" w:cs="Times New Roman"/>
          <w:i/>
          <w:iCs/>
          <w:sz w:val="24"/>
          <w:szCs w:val="24"/>
          <w:lang w:val="en-US"/>
        </w:rPr>
        <w:t>British Journal of Multidisciplinary and Advanced Studies</w:t>
      </w:r>
      <w:r>
        <w:rPr>
          <w:rFonts w:ascii="Times New Roman" w:hAnsi="Times New Roman" w:cs="Times New Roman"/>
          <w:sz w:val="24"/>
          <w:szCs w:val="24"/>
          <w:lang w:val="en-US"/>
        </w:rPr>
        <w:t xml:space="preserve"> 1 </w:t>
      </w:r>
      <w:r>
        <w:fldChar w:fldCharType="begin"/>
      </w:r>
      <w:r>
        <w:instrText xml:space="preserve"> HYPERLINK "https://eajournals.org/bjms/wp-content/uploads/sites/36/2023/07/Nigerian-Land-Policy.pdf" </w:instrText>
      </w:r>
      <w:r>
        <w:fldChar w:fldCharType="separate"/>
      </w:r>
      <w:r>
        <w:rPr>
          <w:rStyle w:val="23"/>
          <w:rFonts w:ascii="Times New Roman" w:hAnsi="Times New Roman" w:cs="Times New Roman"/>
          <w:sz w:val="24"/>
          <w:szCs w:val="24"/>
          <w:lang w:val="en-US"/>
        </w:rPr>
        <w:t>https://eajournals.org/bjms/wp-content/uploads/sites/36/2023/07/Nigerian-Land-Policy.pdf</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0A84130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Internet Materials</w:t>
      </w:r>
    </w:p>
    <w:p w14:paraId="07DB29B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Food and Agriculture Organization, </w:t>
      </w:r>
      <w:r>
        <w:rPr>
          <w:rFonts w:ascii="Times New Roman" w:hAnsi="Times New Roman" w:cs="Times New Roman"/>
          <w:i/>
          <w:iCs/>
          <w:sz w:val="24"/>
          <w:szCs w:val="24"/>
          <w:lang w:val="en-US"/>
        </w:rPr>
        <w:t>Compulsory Acquisition of Land and Compensation</w:t>
      </w:r>
      <w:r>
        <w:rPr>
          <w:rFonts w:ascii="Times New Roman" w:hAnsi="Times New Roman" w:cs="Times New Roman"/>
          <w:sz w:val="24"/>
          <w:szCs w:val="24"/>
          <w:lang w:val="en-US"/>
        </w:rPr>
        <w:t xml:space="preserve"> (FAO Land Tenure Studies No 10, FAO 2008) </w:t>
      </w:r>
      <w:r>
        <w:fldChar w:fldCharType="begin"/>
      </w:r>
      <w:r>
        <w:instrText xml:space="preserve"> HYPERLINK "https://www.fao.org/4/i0506e/i0506e00.htm" </w:instrText>
      </w:r>
      <w:r>
        <w:fldChar w:fldCharType="separate"/>
      </w:r>
      <w:r>
        <w:rPr>
          <w:rStyle w:val="23"/>
          <w:rFonts w:ascii="Times New Roman" w:hAnsi="Times New Roman" w:cs="Times New Roman"/>
          <w:sz w:val="24"/>
          <w:szCs w:val="24"/>
          <w:lang w:val="en-US"/>
        </w:rPr>
        <w:t>https://www.fao.org/4/i0506e/i0506e00.htm</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7DDB5AF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Food and Agriculture Organization, </w:t>
      </w:r>
      <w:r>
        <w:rPr>
          <w:rFonts w:ascii="Times New Roman" w:hAnsi="Times New Roman" w:cs="Times New Roman"/>
          <w:i/>
          <w:iCs/>
          <w:sz w:val="24"/>
          <w:szCs w:val="24"/>
          <w:lang w:val="en-US"/>
        </w:rPr>
        <w:t>Land Tenure and Rural Development</w:t>
      </w:r>
      <w:r>
        <w:rPr>
          <w:rFonts w:ascii="Times New Roman" w:hAnsi="Times New Roman" w:cs="Times New Roman"/>
          <w:sz w:val="24"/>
          <w:szCs w:val="24"/>
          <w:lang w:val="en-US"/>
        </w:rPr>
        <w:t xml:space="preserve"> (FAO Land Tenure Studies No 3, Food and Agriculture Organization 2002) </w:t>
      </w:r>
      <w:r>
        <w:fldChar w:fldCharType="begin"/>
      </w:r>
      <w:r>
        <w:instrText xml:space="preserve"> HYPERLINK "https://www.fao.org/4/y4307e/y4307e00.htm" </w:instrText>
      </w:r>
      <w:r>
        <w:fldChar w:fldCharType="separate"/>
      </w:r>
      <w:r>
        <w:rPr>
          <w:rStyle w:val="23"/>
          <w:rFonts w:ascii="Times New Roman" w:hAnsi="Times New Roman" w:cs="Times New Roman"/>
          <w:sz w:val="24"/>
          <w:szCs w:val="24"/>
          <w:lang w:val="en-US"/>
        </w:rPr>
        <w:t>https://www.fao.org/4/y4307e/y4307e00.htm</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633CC2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Food and Agriculture Organization, </w:t>
      </w:r>
      <w:r>
        <w:rPr>
          <w:rFonts w:ascii="Times New Roman" w:hAnsi="Times New Roman" w:cs="Times New Roman"/>
          <w:i/>
          <w:iCs/>
          <w:sz w:val="24"/>
          <w:szCs w:val="24"/>
          <w:lang w:val="en-US"/>
        </w:rPr>
        <w:t>Voluntary Guidelines on the Responsible Governance of Tenure of Land, Fisheries and Forests</w:t>
      </w:r>
      <w:r>
        <w:rPr>
          <w:rFonts w:ascii="Times New Roman" w:hAnsi="Times New Roman" w:cs="Times New Roman"/>
          <w:sz w:val="24"/>
          <w:szCs w:val="24"/>
          <w:lang w:val="en-US"/>
        </w:rPr>
        <w:t xml:space="preserve"> (FAO 2012) </w:t>
      </w:r>
      <w:r>
        <w:fldChar w:fldCharType="begin"/>
      </w:r>
      <w:r>
        <w:instrText xml:space="preserve"> HYPERLINK "https://www.fao.org/4/i2801e/i2801e.pdf" </w:instrText>
      </w:r>
      <w:r>
        <w:fldChar w:fldCharType="separate"/>
      </w:r>
      <w:r>
        <w:rPr>
          <w:rStyle w:val="23"/>
          <w:rFonts w:ascii="Times New Roman" w:hAnsi="Times New Roman" w:cs="Times New Roman"/>
          <w:sz w:val="24"/>
          <w:szCs w:val="24"/>
          <w:lang w:val="en-US"/>
        </w:rPr>
        <w:t>https://www.fao.org/4/i2801e/i2801e.pdf</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CEFC86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Lagos State Government, ‘Lagos State Electronic Geographic Information System’ </w:t>
      </w:r>
      <w:r>
        <w:fldChar w:fldCharType="begin"/>
      </w:r>
      <w:r>
        <w:instrText xml:space="preserve"> HYPERLINK "https://landsbureau.lagosstate.gov.ng/" </w:instrText>
      </w:r>
      <w:r>
        <w:fldChar w:fldCharType="separate"/>
      </w:r>
      <w:r>
        <w:rPr>
          <w:rStyle w:val="23"/>
          <w:rFonts w:ascii="Times New Roman" w:hAnsi="Times New Roman" w:cs="Times New Roman"/>
          <w:sz w:val="24"/>
          <w:szCs w:val="24"/>
          <w:lang w:val="en-US"/>
        </w:rPr>
        <w:t>https://landsbureau.lagosstate.gov.ng/</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05E7C02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National Institute for Legislative and Democratic Studies, ‘Constitution of the Federal Republic of Nigeria (Sixth Alteration) Bill 2024: Proposal to Delete Section 315(5)(d)’ (2024) </w:t>
      </w:r>
      <w:r>
        <w:fldChar w:fldCharType="begin"/>
      </w:r>
      <w:r>
        <w:instrText xml:space="preserve"> HYPERLINK "https://placbillstrack.org/" </w:instrText>
      </w:r>
      <w:r>
        <w:fldChar w:fldCharType="separate"/>
      </w:r>
      <w:r>
        <w:rPr>
          <w:rStyle w:val="23"/>
          <w:rFonts w:ascii="Times New Roman" w:hAnsi="Times New Roman" w:cs="Times New Roman"/>
          <w:sz w:val="24"/>
          <w:szCs w:val="24"/>
          <w:lang w:val="en-US"/>
        </w:rPr>
        <w:t>https://placbillstrack.org/</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6C4775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Otubu, AK, ‘The Land Use Act and Land Ownership Debate in Nigeria: Resolving the Impasse’ (2015) </w:t>
      </w:r>
      <w:r>
        <w:fldChar w:fldCharType="begin"/>
      </w:r>
      <w:r>
        <w:instrText xml:space="preserve"> HYPERLINK "https://ssrn.com/abstract=2564539" </w:instrText>
      </w:r>
      <w:r>
        <w:fldChar w:fldCharType="separate"/>
      </w:r>
      <w:r>
        <w:rPr>
          <w:rStyle w:val="23"/>
          <w:rFonts w:ascii="Times New Roman" w:hAnsi="Times New Roman" w:cs="Times New Roman"/>
          <w:sz w:val="24"/>
          <w:szCs w:val="24"/>
          <w:lang w:val="en-US"/>
        </w:rPr>
        <w:t>https://ssrn.com/abstract=2564539</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5A23C54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Premium Times, ‘Ground Rent: Wike Orders Revocation of 1,095 Abuja Property Titles as FCTA Begins Enforcement Action’ (28 November 2025) </w:t>
      </w:r>
      <w:r>
        <w:fldChar w:fldCharType="begin"/>
      </w:r>
      <w:r>
        <w:instrText xml:space="preserve"> HYPERLINK "https://www.premiumtimesng.com/news/top-news/839210-ground-rent-wike-orders-revocation-of-1095-abuja-property-titles-as-fcta-begins-enforcement-action.html" </w:instrText>
      </w:r>
      <w:r>
        <w:fldChar w:fldCharType="separate"/>
      </w:r>
      <w:r>
        <w:rPr>
          <w:rStyle w:val="23"/>
          <w:rFonts w:ascii="Times New Roman" w:hAnsi="Times New Roman" w:cs="Times New Roman"/>
          <w:sz w:val="24"/>
          <w:szCs w:val="24"/>
          <w:lang w:val="en-US"/>
        </w:rPr>
        <w:t>https://www.premiumtimesng.com/news/top-news/839210-ground-rent-wike-orders-revocation-of-1095-abuja-property-titles-as-fcta-begins-enforcement-action.html</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9554D1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UN-Habitat, </w:t>
      </w:r>
      <w:r>
        <w:rPr>
          <w:rFonts w:ascii="Times New Roman" w:hAnsi="Times New Roman" w:cs="Times New Roman"/>
          <w:i/>
          <w:iCs/>
          <w:sz w:val="24"/>
          <w:szCs w:val="24"/>
          <w:lang w:val="en-US"/>
        </w:rPr>
        <w:t>Secure Land Rights for All</w:t>
      </w:r>
      <w:r>
        <w:rPr>
          <w:rFonts w:ascii="Times New Roman" w:hAnsi="Times New Roman" w:cs="Times New Roman"/>
          <w:sz w:val="24"/>
          <w:szCs w:val="24"/>
          <w:lang w:val="en-US"/>
        </w:rPr>
        <w:t xml:space="preserve"> (UN-Habitat 2008) </w:t>
      </w:r>
      <w:r>
        <w:fldChar w:fldCharType="begin"/>
      </w:r>
      <w:r>
        <w:instrText xml:space="preserve"> HYPERLINK "https://unhabitat.org/secure-land-rights-for-all" </w:instrText>
      </w:r>
      <w:r>
        <w:fldChar w:fldCharType="separate"/>
      </w:r>
      <w:r>
        <w:rPr>
          <w:rStyle w:val="23"/>
          <w:rFonts w:ascii="Times New Roman" w:hAnsi="Times New Roman" w:cs="Times New Roman"/>
          <w:sz w:val="24"/>
          <w:szCs w:val="24"/>
          <w:lang w:val="en-US"/>
        </w:rPr>
        <w:t>https://unhabitat.org/secure-land-rights-for-all</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487AC8E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World Bank, </w:t>
      </w:r>
      <w:r>
        <w:rPr>
          <w:rFonts w:ascii="Times New Roman" w:hAnsi="Times New Roman" w:cs="Times New Roman"/>
          <w:i/>
          <w:iCs/>
          <w:sz w:val="24"/>
          <w:szCs w:val="24"/>
          <w:lang w:val="en-US"/>
        </w:rPr>
        <w:t>Nigeria—Land Governance Assessment Framework</w:t>
      </w:r>
      <w:r>
        <w:rPr>
          <w:rFonts w:ascii="Times New Roman" w:hAnsi="Times New Roman" w:cs="Times New Roman"/>
          <w:sz w:val="24"/>
          <w:szCs w:val="24"/>
          <w:lang w:val="en-US"/>
        </w:rPr>
        <w:t xml:space="preserve"> (World Bank 2011) </w:t>
      </w:r>
      <w:r>
        <w:fldChar w:fldCharType="begin"/>
      </w:r>
      <w:r>
        <w:instrText xml:space="preserve"> HYPERLINK "https://documents.worldbank.org/" </w:instrText>
      </w:r>
      <w:r>
        <w:fldChar w:fldCharType="separate"/>
      </w:r>
      <w:r>
        <w:rPr>
          <w:rStyle w:val="23"/>
          <w:rFonts w:ascii="Times New Roman" w:hAnsi="Times New Roman" w:cs="Times New Roman"/>
          <w:sz w:val="24"/>
          <w:szCs w:val="24"/>
          <w:lang w:val="en-US"/>
        </w:rPr>
        <w:t>https://documents.worldbank.org/</w:t>
      </w:r>
      <w:r>
        <w:rPr>
          <w:rStyle w:val="23"/>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accessed 11 June 2026.</w:t>
      </w:r>
    </w:p>
    <w:p w14:paraId="29799764">
      <w:pPr>
        <w:spacing w:line="480" w:lineRule="auto"/>
        <w:jc w:val="both"/>
        <w:rPr>
          <w:rFonts w:ascii="Times New Roman" w:hAnsi="Times New Roman" w:cs="Times New Roman"/>
          <w:sz w:val="24"/>
          <w:szCs w:val="24"/>
          <w:lang w:val="en-US"/>
        </w:rPr>
      </w:pPr>
    </w:p>
    <w:p w14:paraId="38B19286">
      <w:pPr>
        <w:spacing w:line="480" w:lineRule="auto"/>
        <w:jc w:val="both"/>
        <w:rPr>
          <w:rFonts w:ascii="Times New Roman" w:hAnsi="Times New Roman" w:cs="Times New Roman"/>
          <w:sz w:val="24"/>
          <w:szCs w:val="24"/>
          <w:lang w:val="en-US"/>
        </w:rPr>
      </w:pPr>
    </w:p>
    <w:p w14:paraId="0F4EE531">
      <w:pPr>
        <w:spacing w:line="480" w:lineRule="auto"/>
        <w:jc w:val="both"/>
        <w:rPr>
          <w:rFonts w:ascii="Times New Roman" w:hAnsi="Times New Roman" w:cs="Times New Roman"/>
          <w:sz w:val="24"/>
          <w:szCs w:val="24"/>
        </w:rPr>
      </w:pPr>
    </w:p>
    <w:p w14:paraId="60BB395A">
      <w:pPr/>
    </w:p>
    <w:sectPr>
      <w:headerReference r:id="rId6" w:type="default"/>
      <w:footerReference r:id="rId7" w:type="default"/>
      <w:pgSz w:w="11907" w:h="16839"/>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Calibri Light">
    <w:panose1 w:val="020F0302020204030204"/>
    <w:charset w:val="00"/>
    <w:family w:val="swiss"/>
    <w:pitch w:val="default"/>
    <w:sig w:usb0="00000000" w:usb1="00000000" w:usb2="00000009" w:usb3="00000000" w:csb0="000001FF" w:csb1="00000000"/>
  </w:font>
  <w:font w:name="Tahoma">
    <w:panose1 w:val="020B0604030504040204"/>
    <w:charset w:val="00"/>
    <w:family w:val="swiss"/>
    <w:pitch w:val="default"/>
    <w:sig w:usb0="00000000" w:usb1="00000000" w:usb2="00000029" w:usb3="00000000" w:csb0="000101FF" w:csb1="00000000"/>
  </w:font>
  <w:font w:name=".AppleSystemUIFont">
    <w:altName w:val="Cambria"/>
    <w:panose1 w:val="020B0604020202020204"/>
    <w:charset w:val="00"/>
    <w:family w:val="roman"/>
    <w:pitch w:val="default"/>
    <w:sig w:usb0="00000000" w:usb1="00000000" w:usb2="00000000" w:usb3="00000000" w:csb0="00000000" w:csb1="00000000"/>
  </w:font>
  <w:font w:name="UICTFontTextStyleBody">
    <w:altName w:val="Cambria"/>
    <w:panose1 w:val="020B06040202020202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99653188"/>
    </w:sdtPr>
    <w:sdtEndPr>
      <w:rPr>
        <w:rFonts w:ascii="Times New Roman" w:hAnsi="Times New Roman" w:cs="Times New Roman"/>
        <w:sz w:val="24"/>
        <w:szCs w:val="24"/>
      </w:rPr>
    </w:sdtEndPr>
    <w:sdtContent>
      <w:p w14:paraId="0C7E7785">
        <w:pPr>
          <w:pStyle w:val="7"/>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w:t>
        </w:r>
        <w:r>
          <w:rPr>
            <w:rFonts w:ascii="Times New Roman" w:hAnsi="Times New Roman" w:cs="Times New Roman"/>
            <w:sz w:val="24"/>
            <w:szCs w:val="24"/>
          </w:rPr>
          <w:fldChar w:fldCharType="end"/>
        </w:r>
      </w:p>
    </w:sdtContent>
  </w:sdt>
  <w:p w14:paraId="6ABBE2C9">
    <w:pPr>
      <w:pStyle w:val="7"/>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324F">
    <w:pPr>
      <w:pStyle w:val="7"/>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14:paraId="3F0F7873">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w:t>
      </w:r>
      <w:r>
        <w:rPr>
          <w:rFonts w:ascii="Times New Roman" w:hAnsi="Times New Roman" w:cs="Times New Roman"/>
          <w:i/>
        </w:rPr>
        <w:t>Land Tenure &amp; Rural Dev</w:t>
      </w:r>
      <w:r>
        <w:rPr>
          <w:rFonts w:ascii="Times New Roman" w:hAnsi="Times New Roman" w:cs="Times New Roman"/>
        </w:rPr>
        <w:t xml:space="preserve"> (FAO Land Tenure Studies No 3, Food and Agriculture Organization 2002) 7–10 &lt;https://www.fao.org/4/y4307e/y4307e00.htm&gt; accessed 30 June 2026.</w:t>
      </w:r>
    </w:p>
  </w:footnote>
  <w:footnote w:id="1">
    <w:p w14:paraId="4F8CAA8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15–18.</w:t>
      </w:r>
    </w:p>
  </w:footnote>
  <w:footnote w:id="2">
    <w:p w14:paraId="62777D5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Constitution of the Federal Republic of Nigeria 1999 (as amended) ss 43–44.</w:t>
      </w:r>
    </w:p>
  </w:footnote>
  <w:footnote w:id="3">
    <w:p w14:paraId="1D118E6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JA Omotola, </w:t>
      </w:r>
      <w:r>
        <w:rPr>
          <w:rFonts w:ascii="Times New Roman" w:hAnsi="Times New Roman" w:cs="Times New Roman"/>
          <w:i/>
        </w:rPr>
        <w:t>Essays on the LUA 1978</w:t>
      </w:r>
      <w:r>
        <w:rPr>
          <w:rFonts w:ascii="Times New Roman" w:hAnsi="Times New Roman" w:cs="Times New Roman"/>
        </w:rPr>
        <w:t xml:space="preserve"> (Lagos Uni Press 1984) 1–15; Land Use Act (LUA), Cap L5, Laws of the Federation of Nigeria 2004, ss 1–6, 21–22 and 28–36.</w:t>
      </w:r>
    </w:p>
  </w:footnote>
  <w:footnote w:id="4">
    <w:p w14:paraId="4591375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Abioye v Yakubu [1991] 5NWLR(Pt190)130(SC).</w:t>
      </w:r>
    </w:p>
  </w:footnote>
  <w:footnote w:id="5">
    <w:p w14:paraId="6F06208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Adole v Gwar [2008] 11 NWLR (Pt 1099)562 (SC).</w:t>
      </w:r>
    </w:p>
  </w:footnote>
  <w:footnote w:id="6">
    <w:p w14:paraId="591C011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AK Otubu, ‘LUA &amp; Land Ownership Debate’ (2015) 2–8 &lt;https://ssrn.com/abstract=2564539&gt; accessed 30 June 2026.</w:t>
      </w:r>
    </w:p>
  </w:footnote>
  <w:footnote w:id="7">
    <w:p w14:paraId="2263966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CU Ugonabo, CC Egolum and RO Sado, ‘Nigerian Land Policy’ [2023] (11)(4) </w:t>
      </w:r>
      <w:r>
        <w:rPr>
          <w:rFonts w:ascii="Times New Roman" w:hAnsi="Times New Roman" w:cs="Times New Roman"/>
          <w:i/>
        </w:rPr>
        <w:t>BJM&amp;AS</w:t>
      </w:r>
      <w:r>
        <w:rPr>
          <w:rFonts w:ascii="Times New Roman" w:hAnsi="Times New Roman" w:cs="Times New Roman"/>
        </w:rPr>
        <w:t xml:space="preserve"> 1, 5–12 </w:t>
      </w:r>
    </w:p>
  </w:footnote>
  <w:footnote w:id="8">
    <w:p w14:paraId="618E5B63">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12–16.</w:t>
      </w:r>
    </w:p>
  </w:footnote>
  <w:footnote w:id="9">
    <w:p w14:paraId="454FAE8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T Hutchinson and N Duncan, ‘Doctrinal Legal Research’ [2012] (17)(1) </w:t>
      </w:r>
      <w:r>
        <w:rPr>
          <w:rFonts w:ascii="Times New Roman" w:hAnsi="Times New Roman" w:cs="Times New Roman"/>
          <w:i/>
        </w:rPr>
        <w:t>DLR</w:t>
      </w:r>
      <w:r>
        <w:rPr>
          <w:rFonts w:ascii="Times New Roman" w:hAnsi="Times New Roman" w:cs="Times New Roman"/>
        </w:rPr>
        <w:t xml:space="preserve"> 83, 101–110 </w:t>
      </w:r>
    </w:p>
  </w:footnote>
  <w:footnote w:id="10">
    <w:p w14:paraId="2C477B8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EC Agbor, ‘LUA &amp; Pre-Existing Rights’ [2021] (7)(1) </w:t>
      </w:r>
      <w:r>
        <w:rPr>
          <w:rFonts w:ascii="Times New Roman" w:hAnsi="Times New Roman" w:cs="Times New Roman"/>
          <w:i/>
        </w:rPr>
        <w:t>AJLHR</w:t>
      </w:r>
      <w:r>
        <w:rPr>
          <w:rFonts w:ascii="Times New Roman" w:hAnsi="Times New Roman" w:cs="Times New Roman"/>
        </w:rPr>
        <w:t xml:space="preserve"> 1, 4–10 &lt;https://www.ezenwaohaetorc.org/journals/index.php/AJLHR&gt; accessed 30 June 2026.</w:t>
      </w:r>
    </w:p>
  </w:footnote>
  <w:footnote w:id="11">
    <w:p w14:paraId="4D5B10C2">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BO Nwabueze, </w:t>
      </w:r>
      <w:r>
        <w:rPr>
          <w:rFonts w:ascii="Times New Roman" w:hAnsi="Times New Roman" w:cs="Times New Roman"/>
          <w:i/>
        </w:rPr>
        <w:t>Nig. Land Law</w:t>
      </w:r>
      <w:r>
        <w:rPr>
          <w:rFonts w:ascii="Times New Roman" w:hAnsi="Times New Roman" w:cs="Times New Roman"/>
        </w:rPr>
        <w:t xml:space="preserve"> (Nwamife Publishers 1972) 1–12.</w:t>
      </w:r>
    </w:p>
  </w:footnote>
  <w:footnote w:id="12">
    <w:p w14:paraId="399EC21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 Ekpo, EM Adam and EW Obilor, ‘Trust Provisions in Nigerian Law’ [2023] (5)(2) </w:t>
      </w:r>
      <w:r>
        <w:rPr>
          <w:rFonts w:ascii="Times New Roman" w:hAnsi="Times New Roman" w:cs="Times New Roman"/>
          <w:i/>
        </w:rPr>
        <w:t>IRLJ</w:t>
      </w:r>
      <w:r>
        <w:rPr>
          <w:rFonts w:ascii="Times New Roman" w:hAnsi="Times New Roman" w:cs="Times New Roman"/>
        </w:rPr>
        <w:t xml:space="preserve"> 76, 76–81 </w:t>
      </w:r>
    </w:p>
  </w:footnote>
  <w:footnote w:id="13">
    <w:p w14:paraId="1A88972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FC Amadi and CIG Agwor, ‘Transfer of Interest &amp; Governor’s Consent’ [2022] (18)(1) </w:t>
      </w:r>
      <w:r>
        <w:rPr>
          <w:rFonts w:ascii="Times New Roman" w:hAnsi="Times New Roman" w:cs="Times New Roman"/>
          <w:i/>
        </w:rPr>
        <w:t>JPPL</w:t>
      </w:r>
      <w:r>
        <w:rPr>
          <w:rFonts w:ascii="Times New Roman" w:hAnsi="Times New Roman" w:cs="Times New Roman"/>
        </w:rPr>
        <w:t xml:space="preserve"> 100, 100–108 </w:t>
      </w:r>
    </w:p>
  </w:footnote>
  <w:footnote w:id="14">
    <w:p w14:paraId="051B0F0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CIG Agwor and N Amadi-Harry, ‘Governor’s Consent: Whose Duty and When’ [2024] (10) </w:t>
      </w:r>
      <w:r>
        <w:rPr>
          <w:rFonts w:ascii="Times New Roman" w:hAnsi="Times New Roman" w:cs="Times New Roman"/>
          <w:i/>
        </w:rPr>
        <w:t>IMSUJCCL</w:t>
      </w:r>
      <w:r>
        <w:rPr>
          <w:rFonts w:ascii="Times New Roman" w:hAnsi="Times New Roman" w:cs="Times New Roman"/>
        </w:rPr>
        <w:t xml:space="preserve"> 1, 1–12 &lt;https://www.nigerianjournalsonline.com/index.php/JCCL/article/view/5681&gt; accessed 30 June 2026.</w:t>
      </w:r>
    </w:p>
  </w:footnote>
  <w:footnote w:id="15">
    <w:p w14:paraId="7A1D50C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CA Onah, ‘Justifying Consent under the LUA’ [2022] (13)(2) </w:t>
      </w:r>
      <w:r>
        <w:rPr>
          <w:rFonts w:ascii="Times New Roman" w:hAnsi="Times New Roman" w:cs="Times New Roman"/>
          <w:i/>
        </w:rPr>
        <w:t>NAUJILJ</w:t>
      </w:r>
      <w:r>
        <w:rPr>
          <w:rFonts w:ascii="Times New Roman" w:hAnsi="Times New Roman" w:cs="Times New Roman"/>
        </w:rPr>
        <w:t xml:space="preserve"> 107, 107–116 &lt;https://www.nigerianjournalsonline.com/index.php/NAUJILJ&gt; accessed 30 June 2026.</w:t>
      </w:r>
    </w:p>
  </w:footnote>
  <w:footnote w:id="16">
    <w:p w14:paraId="51B16B3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E Emudainohwo, ‘Revocation of Rights of Occupancy’ [2021] (9) </w:t>
      </w:r>
      <w:r>
        <w:rPr>
          <w:rFonts w:ascii="Times New Roman" w:hAnsi="Times New Roman" w:cs="Times New Roman"/>
          <w:i/>
        </w:rPr>
        <w:t>BLR</w:t>
      </w:r>
      <w:r>
        <w:rPr>
          <w:rFonts w:ascii="Times New Roman" w:hAnsi="Times New Roman" w:cs="Times New Roman"/>
        </w:rPr>
        <w:t xml:space="preserve"> 1, 5–14 &lt;https://www.scirp.org/journal/paperinformation?paperid=109052&gt; accessed 30 June 2026.</w:t>
      </w:r>
    </w:p>
  </w:footnote>
  <w:footnote w:id="17">
    <w:p w14:paraId="1E6BE7C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DO Onah, ‘Public Purpose &amp; Compensation’ [2022] (18)(1) </w:t>
      </w:r>
      <w:r>
        <w:rPr>
          <w:rFonts w:ascii="Times New Roman" w:hAnsi="Times New Roman" w:cs="Times New Roman"/>
          <w:i/>
        </w:rPr>
        <w:t>JPPL</w:t>
      </w:r>
      <w:r>
        <w:rPr>
          <w:rFonts w:ascii="Times New Roman" w:hAnsi="Times New Roman" w:cs="Times New Roman"/>
        </w:rPr>
        <w:t xml:space="preserve"> 100, 100–112 &lt;https://www.nigerianjournalsonline.com/index.php/PORTLAW&gt; accessed 30 June 2026.</w:t>
      </w:r>
    </w:p>
  </w:footnote>
  <w:footnote w:id="18">
    <w:p w14:paraId="2CA8080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CJ Ubanyionwu, ‘Public Purpose in Land Acquisition’ [2023] (5)(1) </w:t>
      </w:r>
      <w:r>
        <w:rPr>
          <w:rFonts w:ascii="Times New Roman" w:hAnsi="Times New Roman" w:cs="Times New Roman"/>
          <w:i/>
        </w:rPr>
        <w:t>COOUJPPL</w:t>
      </w:r>
      <w:r>
        <w:rPr>
          <w:rFonts w:ascii="Times New Roman" w:hAnsi="Times New Roman" w:cs="Times New Roman"/>
        </w:rPr>
        <w:t xml:space="preserve"> 197, 197–211 </w:t>
      </w:r>
    </w:p>
  </w:footnote>
  <w:footnote w:id="19">
    <w:p w14:paraId="4549A22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RO Salawu, ‘LUA &amp; Sustainable Rural Dev’ [2023] (10)(1) </w:t>
      </w:r>
      <w:r>
        <w:rPr>
          <w:rFonts w:ascii="Times New Roman" w:hAnsi="Times New Roman" w:cs="Times New Roman"/>
          <w:i/>
        </w:rPr>
        <w:t>JPAS</w:t>
      </w:r>
      <w:r>
        <w:rPr>
          <w:rFonts w:ascii="Times New Roman" w:hAnsi="Times New Roman" w:cs="Times New Roman"/>
        </w:rPr>
        <w:t xml:space="preserve"> 1, 4–13 &lt;https://journals.uph.edu.ng/index.php/JPAS&gt; accessed 30 June 2026.</w:t>
      </w:r>
    </w:p>
  </w:footnote>
  <w:footnote w:id="20">
    <w:p w14:paraId="34DDA9C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J John and A Bello, ‘Land Governance &amp; Sustainable Land Management’ [2024] (8)(4) </w:t>
      </w:r>
      <w:r>
        <w:rPr>
          <w:rFonts w:ascii="Times New Roman" w:hAnsi="Times New Roman" w:cs="Times New Roman"/>
          <w:i/>
        </w:rPr>
        <w:t>IJRISS</w:t>
      </w:r>
      <w:r>
        <w:rPr>
          <w:rFonts w:ascii="Times New Roman" w:hAnsi="Times New Roman" w:cs="Times New Roman"/>
        </w:rPr>
        <w:t xml:space="preserve"> 1200, 1204–1210 &lt;https://rsisinternational.org/journals/ijriss/&gt; accessed 30 June 2026.</w:t>
      </w:r>
    </w:p>
  </w:footnote>
  <w:footnote w:id="21">
    <w:p w14:paraId="36C7E0D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CI Onyia and FC Ezeodili, ‘LUA &amp; Socio-Economic Dev in Enugu’ [2022] (20)(1) </w:t>
      </w:r>
      <w:r>
        <w:rPr>
          <w:rFonts w:ascii="Times New Roman" w:hAnsi="Times New Roman" w:cs="Times New Roman"/>
          <w:i/>
        </w:rPr>
        <w:t>AJLDS</w:t>
      </w:r>
      <w:r>
        <w:rPr>
          <w:rFonts w:ascii="Times New Roman" w:hAnsi="Times New Roman" w:cs="Times New Roman"/>
        </w:rPr>
        <w:t xml:space="preserve"> 55, 60–69 &lt;https://www.ajol.info/&gt; accessed 30 June 2026.</w:t>
      </w:r>
    </w:p>
  </w:footnote>
  <w:footnote w:id="22">
    <w:p w14:paraId="2D09308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1) 7–10.</w:t>
      </w:r>
    </w:p>
  </w:footnote>
  <w:footnote w:id="23">
    <w:p w14:paraId="5497B37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B Megarry and W Wade, </w:t>
      </w:r>
      <w:r>
        <w:rPr>
          <w:rFonts w:ascii="Times New Roman" w:hAnsi="Times New Roman" w:cs="Times New Roman"/>
          <w:i/>
        </w:rPr>
        <w:t>Law of Real Property.</w:t>
      </w:r>
      <w:r>
        <w:rPr>
          <w:rFonts w:ascii="Times New Roman" w:hAnsi="Times New Roman" w:cs="Times New Roman"/>
        </w:rPr>
        <w:t xml:space="preserve"> (9th edn, Sweet &amp; Maxwell 2019) 1–8.</w:t>
      </w:r>
    </w:p>
  </w:footnote>
  <w:footnote w:id="24">
    <w:p w14:paraId="5ACD935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 51.</w:t>
      </w:r>
    </w:p>
  </w:footnote>
  <w:footnote w:id="25">
    <w:p w14:paraId="1B9A045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Nwabueze (n 12) 52–67.</w:t>
      </w:r>
    </w:p>
  </w:footnote>
  <w:footnote w:id="26">
    <w:p w14:paraId="7EA44222">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[1921] 2AC399(PC) 402–404.</w:t>
      </w:r>
    </w:p>
  </w:footnote>
  <w:footnote w:id="27">
    <w:p w14:paraId="7E8A00B8">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1) 7.</w:t>
      </w:r>
    </w:p>
  </w:footnote>
  <w:footnote w:id="28">
    <w:p w14:paraId="0F4A821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UN-Habitat, </w:t>
      </w:r>
      <w:r>
        <w:rPr>
          <w:rFonts w:ascii="Times New Roman" w:hAnsi="Times New Roman" w:cs="Times New Roman"/>
          <w:i/>
        </w:rPr>
        <w:t>Secure Land Rights for All</w:t>
      </w:r>
      <w:r>
        <w:rPr>
          <w:rFonts w:ascii="Times New Roman" w:hAnsi="Times New Roman" w:cs="Times New Roman"/>
        </w:rPr>
        <w:t xml:space="preserve"> (UN-Habitat 2008) 5–9 &lt;https://unhabitat.org/secure-land-rights-for-all&gt; accessed 30 June 2026.</w:t>
      </w:r>
    </w:p>
  </w:footnote>
  <w:footnote w:id="29">
    <w:p w14:paraId="386E625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Omotola (n 4) 20–35.</w:t>
      </w:r>
    </w:p>
  </w:footnote>
  <w:footnote w:id="30">
    <w:p w14:paraId="7DBF41E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Land Tenure Law, Cap 59, Laws of Northern Nigeria 1963, ss 5–10.</w:t>
      </w:r>
    </w:p>
  </w:footnote>
  <w:footnote w:id="31">
    <w:p w14:paraId="2D4F16E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ss 5–15.</w:t>
      </w:r>
    </w:p>
  </w:footnote>
  <w:footnote w:id="32">
    <w:p w14:paraId="4E2E5E6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ss 21–23.</w:t>
      </w:r>
    </w:p>
  </w:footnote>
  <w:footnote w:id="33">
    <w:p w14:paraId="63E78D7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ss 28–30.</w:t>
      </w:r>
    </w:p>
  </w:footnote>
  <w:footnote w:id="34">
    <w:p w14:paraId="452C2E4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ss 34 and 36.</w:t>
      </w:r>
    </w:p>
  </w:footnote>
  <w:footnote w:id="35">
    <w:p w14:paraId="4AF9592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Adole v Gwar (n 6) 604–606.</w:t>
      </w:r>
    </w:p>
  </w:footnote>
  <w:footnote w:id="36">
    <w:p w14:paraId="5ADD04F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 6.</w:t>
      </w:r>
    </w:p>
  </w:footnote>
  <w:footnote w:id="37">
    <w:p w14:paraId="6C13E6C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ss 34 and 36.</w:t>
      </w:r>
    </w:p>
  </w:footnote>
  <w:footnote w:id="38">
    <w:p w14:paraId="5289F80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Abioye v Yakubu (n 5) 180–184.</w:t>
      </w:r>
    </w:p>
  </w:footnote>
  <w:footnote w:id="39">
    <w:p w14:paraId="11FBF46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184–188.</w:t>
      </w:r>
    </w:p>
  </w:footnote>
  <w:footnote w:id="40">
    <w:p w14:paraId="09DB5262">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[1990] 2NWLR(Pt135)745(SC)774–775.</w:t>
      </w:r>
    </w:p>
  </w:footnote>
  <w:footnote w:id="41">
    <w:p w14:paraId="3DF439F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w:t>
      </w:r>
    </w:p>
  </w:footnote>
  <w:footnote w:id="42">
    <w:p w14:paraId="5D6093B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Adole v Gwar (n 6) 604–606.</w:t>
      </w:r>
    </w:p>
  </w:footnote>
  <w:footnote w:id="43">
    <w:p w14:paraId="5D0EDAC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ss 21–26.</w:t>
      </w:r>
    </w:p>
  </w:footnote>
  <w:footnote w:id="44">
    <w:p w14:paraId="1DEB9FD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CFRN 1999 (as amended), s 44(1).</w:t>
      </w:r>
    </w:p>
  </w:footnote>
  <w:footnote w:id="45">
    <w:p w14:paraId="7360DB7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w:t>
      </w:r>
      <w:r>
        <w:rPr>
          <w:rFonts w:ascii="Times New Roman" w:hAnsi="Times New Roman" w:cs="Times New Roman"/>
          <w:i/>
        </w:rPr>
        <w:t>Compulsory Acquisition &amp; Compensation</w:t>
      </w:r>
      <w:r>
        <w:rPr>
          <w:rFonts w:ascii="Times New Roman" w:hAnsi="Times New Roman" w:cs="Times New Roman"/>
        </w:rPr>
        <w:t xml:space="preserve"> (FAO Land Tenure Studies No 10, FAO 2008) 5–10 &lt;https://www.fao.org/4/i0506e/i0506e00.htm&gt; accessed 30 June 2026.</w:t>
      </w:r>
    </w:p>
  </w:footnote>
  <w:footnote w:id="46">
    <w:p w14:paraId="65D1546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Ubanyionwu (n 19) 202–207.</w:t>
      </w:r>
    </w:p>
  </w:footnote>
  <w:footnote w:id="47">
    <w:p w14:paraId="2AA0C9E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[2016] LPELR-40367(CA).</w:t>
      </w:r>
    </w:p>
  </w:footnote>
  <w:footnote w:id="48">
    <w:p w14:paraId="756EFA8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 28.</w:t>
      </w:r>
    </w:p>
  </w:footnote>
  <w:footnote w:id="49">
    <w:p w14:paraId="3D8F3703">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Nigerian Engineering Works Ltd. v Denap Ltd. [1997] 10NWLR(Pt525)481(SC).</w:t>
      </w:r>
    </w:p>
  </w:footnote>
  <w:footnote w:id="50">
    <w:p w14:paraId="3A3E39B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Nwachukwu v FCDA [2009] 3 All FWLR (Pt 460) 830 (CA).</w:t>
      </w:r>
    </w:p>
  </w:footnote>
  <w:footnote w:id="51">
    <w:p w14:paraId="00381FB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46) 33–44.</w:t>
      </w:r>
    </w:p>
  </w:footnote>
  <w:footnote w:id="52">
    <w:p w14:paraId="0425258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Onah (n 18) 106–111.</w:t>
      </w:r>
    </w:p>
  </w:footnote>
  <w:footnote w:id="53">
    <w:p w14:paraId="201D0CB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R Pound, </w:t>
      </w:r>
      <w:r>
        <w:rPr>
          <w:rFonts w:ascii="Times New Roman" w:hAnsi="Times New Roman" w:cs="Times New Roman"/>
          <w:i/>
        </w:rPr>
        <w:t>Intro to Phil. of Law</w:t>
      </w:r>
      <w:r>
        <w:rPr>
          <w:rFonts w:ascii="Times New Roman" w:hAnsi="Times New Roman" w:cs="Times New Roman"/>
        </w:rPr>
        <w:t xml:space="preserve"> (Yale Uni Press 1922) 89–99.</w:t>
      </w:r>
    </w:p>
  </w:footnote>
  <w:footnote w:id="54">
    <w:p w14:paraId="157E004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R Pound, </w:t>
      </w:r>
      <w:r>
        <w:rPr>
          <w:rFonts w:ascii="Times New Roman" w:hAnsi="Times New Roman" w:cs="Times New Roman"/>
          <w:i/>
        </w:rPr>
        <w:t>Soc. Control through Law</w:t>
      </w:r>
      <w:r>
        <w:rPr>
          <w:rFonts w:ascii="Times New Roman" w:hAnsi="Times New Roman" w:cs="Times New Roman"/>
        </w:rPr>
        <w:t xml:space="preserve"> (Yale Uni Press 1942) 64–68.</w:t>
      </w:r>
    </w:p>
  </w:footnote>
  <w:footnote w:id="55">
    <w:p w14:paraId="1DDD094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J Austin, </w:t>
      </w:r>
      <w:r>
        <w:rPr>
          <w:rFonts w:ascii="Times New Roman" w:hAnsi="Times New Roman" w:cs="Times New Roman"/>
          <w:i/>
        </w:rPr>
        <w:t>Province of Jurisprudence Determined</w:t>
      </w:r>
      <w:r>
        <w:rPr>
          <w:rFonts w:ascii="Times New Roman" w:hAnsi="Times New Roman" w:cs="Times New Roman"/>
        </w:rPr>
        <w:t xml:space="preserve"> (J Murray 1832) 5–8.</w:t>
      </w:r>
    </w:p>
  </w:footnote>
  <w:footnote w:id="56">
    <w:p w14:paraId="43BADA4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HLA Hart, </w:t>
      </w:r>
      <w:r>
        <w:rPr>
          <w:rFonts w:ascii="Times New Roman" w:hAnsi="Times New Roman" w:cs="Times New Roman"/>
          <w:i/>
        </w:rPr>
        <w:t>Concept of Law</w:t>
      </w:r>
      <w:r>
        <w:rPr>
          <w:rFonts w:ascii="Times New Roman" w:hAnsi="Times New Roman" w:cs="Times New Roman"/>
        </w:rPr>
        <w:t xml:space="preserve"> (3rd edn, OUP 2012) 79–99; H Kelsen, </w:t>
      </w:r>
      <w:r>
        <w:rPr>
          <w:rFonts w:ascii="Times New Roman" w:hAnsi="Times New Roman" w:cs="Times New Roman"/>
          <w:i/>
        </w:rPr>
        <w:t>Pure Theory of Law</w:t>
      </w:r>
      <w:r>
        <w:rPr>
          <w:rFonts w:ascii="Times New Roman" w:hAnsi="Times New Roman" w:cs="Times New Roman"/>
        </w:rPr>
        <w:t xml:space="preserve"> (M Knight tr, Uni of California Press 1967) 193–221.</w:t>
      </w:r>
    </w:p>
  </w:footnote>
  <w:footnote w:id="57">
    <w:p w14:paraId="72559FD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T Aquinas, </w:t>
      </w:r>
      <w:r>
        <w:rPr>
          <w:rFonts w:ascii="Times New Roman" w:hAnsi="Times New Roman" w:cs="Times New Roman"/>
          <w:i/>
        </w:rPr>
        <w:t>Summa Theologiae</w:t>
      </w:r>
      <w:r>
        <w:rPr>
          <w:rFonts w:ascii="Times New Roman" w:hAnsi="Times New Roman" w:cs="Times New Roman"/>
        </w:rPr>
        <w:t xml:space="preserve"> (Fathers of the English Dominican Province tr, Benziger Bros 1947) I–II, q 90, art 4.</w:t>
      </w:r>
    </w:p>
  </w:footnote>
  <w:footnote w:id="58">
    <w:p w14:paraId="59E0DD0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J Finnis, </w:t>
      </w:r>
      <w:r>
        <w:rPr>
          <w:rFonts w:ascii="Times New Roman" w:hAnsi="Times New Roman" w:cs="Times New Roman"/>
          <w:i/>
        </w:rPr>
        <w:t>Nat. Law and Nat. Rights</w:t>
      </w:r>
      <w:r>
        <w:rPr>
          <w:rFonts w:ascii="Times New Roman" w:hAnsi="Times New Roman" w:cs="Times New Roman"/>
        </w:rPr>
        <w:t xml:space="preserve"> (2nd edn, OUP 2011) 23–48.</w:t>
      </w:r>
    </w:p>
  </w:footnote>
  <w:footnote w:id="59">
    <w:p w14:paraId="228B65A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351–366.</w:t>
      </w:r>
    </w:p>
  </w:footnote>
  <w:footnote w:id="60">
    <w:p w14:paraId="58C8706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OW Holmes Jr, </w:t>
      </w:r>
      <w:r>
        <w:rPr>
          <w:rFonts w:ascii="Times New Roman" w:hAnsi="Times New Roman" w:cs="Times New Roman"/>
          <w:i/>
        </w:rPr>
        <w:t>Common Law</w:t>
      </w:r>
      <w:r>
        <w:rPr>
          <w:rFonts w:ascii="Times New Roman" w:hAnsi="Times New Roman" w:cs="Times New Roman"/>
        </w:rPr>
        <w:t xml:space="preserve"> (Little, Brown and Company 1881) 1.</w:t>
      </w:r>
    </w:p>
  </w:footnote>
  <w:footnote w:id="61">
    <w:p w14:paraId="1C8D9928">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KN Llewellyn, </w:t>
      </w:r>
      <w:r>
        <w:rPr>
          <w:rFonts w:ascii="Times New Roman" w:hAnsi="Times New Roman" w:cs="Times New Roman"/>
          <w:i/>
        </w:rPr>
        <w:t>Bramble Bush</w:t>
      </w:r>
      <w:r>
        <w:rPr>
          <w:rFonts w:ascii="Times New Roman" w:hAnsi="Times New Roman" w:cs="Times New Roman"/>
        </w:rPr>
        <w:t xml:space="preserve"> (Oceana Publications 1951) 12–19.</w:t>
      </w:r>
    </w:p>
  </w:footnote>
  <w:footnote w:id="62">
    <w:p w14:paraId="7F3956A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Nwachukwu v FCDA (n 51).</w:t>
      </w:r>
    </w:p>
  </w:footnote>
  <w:footnote w:id="63">
    <w:p w14:paraId="55BEAE5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Adole v Gwar (n 6) 604–606.</w:t>
      </w:r>
    </w:p>
  </w:footnote>
  <w:footnote w:id="64">
    <w:p w14:paraId="0F343AA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Ogunleye v Oni (n 41) 774–775.</w:t>
      </w:r>
    </w:p>
  </w:footnote>
  <w:footnote w:id="65">
    <w:p w14:paraId="61BB88E3">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[2016] LPELR-40772(CA).</w:t>
      </w:r>
    </w:p>
  </w:footnote>
  <w:footnote w:id="66">
    <w:p w14:paraId="727F535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[2006] 15NWLR(Pt1002)342(SC).</w:t>
      </w:r>
    </w:p>
  </w:footnote>
  <w:footnote w:id="67">
    <w:p w14:paraId="19AD1982">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[1995] 4NWLR (Pt390)379(SC).</w:t>
      </w:r>
    </w:p>
  </w:footnote>
  <w:footnote w:id="68">
    <w:p w14:paraId="20B84F18">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[2007] 14NWLR(Pt1053) 109 (SC).</w:t>
      </w:r>
    </w:p>
  </w:footnote>
  <w:footnote w:id="69">
    <w:p w14:paraId="59BF0E6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[1990] 1NWLR(Pt128)500 (SC).</w:t>
      </w:r>
    </w:p>
  </w:footnote>
  <w:footnote w:id="70">
    <w:p w14:paraId="1198789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[1986] 1NWLR(Pt18)621(SC)647–648.</w:t>
      </w:r>
    </w:p>
  </w:footnote>
  <w:footnote w:id="71">
    <w:p w14:paraId="2156CCF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Lagos State Lands Registration Law 2015, ss 1–40 &lt;https://lawglobalhub.com/lagos-state-lands-registration-law-2015/&gt; accessed 30 June 2026.</w:t>
      </w:r>
    </w:p>
  </w:footnote>
  <w:footnote w:id="72">
    <w:p w14:paraId="1A00E0B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ss 41–78.</w:t>
      </w:r>
    </w:p>
  </w:footnote>
  <w:footnote w:id="73">
    <w:p w14:paraId="2EBA8C6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AK Otubu, ‘Land Registration &amp; Title Documentation in Lagos’ [2018] (5)(1) </w:t>
      </w:r>
      <w:r>
        <w:rPr>
          <w:rFonts w:ascii="Times New Roman" w:hAnsi="Times New Roman" w:cs="Times New Roman"/>
          <w:i/>
        </w:rPr>
        <w:t>JPL</w:t>
      </w:r>
      <w:r>
        <w:rPr>
          <w:rFonts w:ascii="Times New Roman" w:hAnsi="Times New Roman" w:cs="Times New Roman"/>
        </w:rPr>
        <w:t xml:space="preserve"> 1, 5–18.</w:t>
      </w:r>
    </w:p>
  </w:footnote>
  <w:footnote w:id="74">
    <w:p w14:paraId="45A9FC4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[2003] 12NWLR (Pt 833) 1 (SC).</w:t>
      </w:r>
    </w:p>
  </w:footnote>
  <w:footnote w:id="75">
    <w:p w14:paraId="2540F37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 2(5).</w:t>
      </w:r>
    </w:p>
  </w:footnote>
  <w:footnote w:id="76">
    <w:p w14:paraId="47C9A9E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 2(5)(a)–(c).</w:t>
      </w:r>
    </w:p>
  </w:footnote>
  <w:footnote w:id="77">
    <w:p w14:paraId="1E87ABD5">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w:t>
      </w:r>
      <w:r>
        <w:rPr>
          <w:rFonts w:ascii="Times New Roman" w:hAnsi="Times New Roman" w:cs="Times New Roman"/>
          <w:i/>
        </w:rPr>
        <w:t>Voluntary Guidelines on Responsible Gov. of Tenure</w:t>
      </w:r>
      <w:r>
        <w:rPr>
          <w:rFonts w:ascii="Times New Roman" w:hAnsi="Times New Roman" w:cs="Times New Roman"/>
        </w:rPr>
        <w:t xml:space="preserve"> (FAO 2012) paras 9.1–9.12 &lt;https://www.fao.org/4/i2801e/i2801e.pdf&gt; accessed 30 June 2026.</w:t>
      </w:r>
    </w:p>
  </w:footnote>
  <w:footnote w:id="78">
    <w:p w14:paraId="55D7C49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ss 2, 5, 9, 22, 28 and 45.</w:t>
      </w:r>
    </w:p>
  </w:footnote>
  <w:footnote w:id="79">
    <w:p w14:paraId="519E009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Ugonabo, Egolum and Sado (n 8) 10–14.</w:t>
      </w:r>
    </w:p>
  </w:footnote>
  <w:footnote w:id="80">
    <w:p w14:paraId="358986F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World Bank, </w:t>
      </w:r>
      <w:r>
        <w:rPr>
          <w:rFonts w:ascii="Times New Roman" w:hAnsi="Times New Roman" w:cs="Times New Roman"/>
          <w:i/>
        </w:rPr>
        <w:t>Nigeria: Land Governance Assessment Framework</w:t>
      </w:r>
      <w:r>
        <w:rPr>
          <w:rFonts w:ascii="Times New Roman" w:hAnsi="Times New Roman" w:cs="Times New Roman"/>
        </w:rPr>
        <w:t xml:space="preserve"> (World Bank 2011) 61–74 &lt;https://openknowledge.worldbank.org/entities/publication/9b007742-8673-56cd-9f96-f8cb5f76f24b&gt; accessed 30 June 2026.</w:t>
      </w:r>
    </w:p>
  </w:footnote>
  <w:footnote w:id="81">
    <w:p w14:paraId="780C3B2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Lagos State Government, ‘Lagos State Electronic Geographic Information System’ &lt;https://landsbureau.lagosstate.gov.ng/&gt; accessed 30 June 2026.</w:t>
      </w:r>
    </w:p>
  </w:footnote>
  <w:footnote w:id="82">
    <w:p w14:paraId="084522B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CFRN 1999 (as amended), ss 6 and 272.</w:t>
      </w:r>
    </w:p>
  </w:footnote>
  <w:footnote w:id="83">
    <w:p w14:paraId="5F51126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ss 39 and 41.</w:t>
      </w:r>
    </w:p>
  </w:footnote>
  <w:footnote w:id="84">
    <w:p w14:paraId="443BF06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Military Governor of Lagos State v Ojukwu (n 71) 647–648.</w:t>
      </w:r>
    </w:p>
  </w:footnote>
  <w:footnote w:id="85">
    <w:p w14:paraId="4A828A5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Ekpo, Adam and Obilor (n 13) 78–81.</w:t>
      </w:r>
    </w:p>
  </w:footnote>
  <w:footnote w:id="86">
    <w:p w14:paraId="0D020D2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D Hayton, P Matthews and C Mitchell, </w:t>
      </w:r>
      <w:r>
        <w:rPr>
          <w:rFonts w:ascii="Times New Roman" w:hAnsi="Times New Roman" w:cs="Times New Roman"/>
          <w:i/>
        </w:rPr>
        <w:t>Underhill and Hayton: Law Relating to Trusts &amp; Trustees</w:t>
      </w:r>
      <w:r>
        <w:rPr>
          <w:rFonts w:ascii="Times New Roman" w:hAnsi="Times New Roman" w:cs="Times New Roman"/>
        </w:rPr>
        <w:t xml:space="preserve"> (20th edn, LexisNexis 2022) 603–625.</w:t>
      </w:r>
    </w:p>
  </w:footnote>
  <w:footnote w:id="87">
    <w:p w14:paraId="22BFCAC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[1984] 1SCNLR634 (SC).</w:t>
      </w:r>
    </w:p>
  </w:footnote>
  <w:footnote w:id="88">
    <w:p w14:paraId="32D2981F">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78) paras 9.7–9.12.</w:t>
      </w:r>
    </w:p>
  </w:footnote>
  <w:footnote w:id="89">
    <w:p w14:paraId="5422ABB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Premium Times, ‘Ground Rent: Wike Orders Revocation of 1,095 Abuja Property Titles’ (28 November 2025) &lt;https://www.premiumtimesng.com/news/top-news/839210-ground-rent-wike-orders-revocation-of-1095-abuja-property-titles-as-fcta-begins-enforcement-action.html&gt; accessed 30 June 2026.</w:t>
      </w:r>
    </w:p>
  </w:footnote>
  <w:footnote w:id="90">
    <w:p w14:paraId="512245C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Otubu (n 7) 8–14.</w:t>
      </w:r>
    </w:p>
  </w:footnote>
  <w:footnote w:id="91">
    <w:p w14:paraId="2ADBA2E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Abioye v Yakubu (n 5) 180–188.</w:t>
      </w:r>
    </w:p>
  </w:footnote>
  <w:footnote w:id="92">
    <w:p w14:paraId="4705804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Otubu (n 7) 14–20.</w:t>
      </w:r>
    </w:p>
  </w:footnote>
  <w:footnote w:id="93">
    <w:p w14:paraId="391760D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Omotola (n 4) 36–48.</w:t>
      </w:r>
    </w:p>
  </w:footnote>
  <w:footnote w:id="94">
    <w:p w14:paraId="50EAD64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Nkwocha v Governor of Anambra State (n 88).</w:t>
      </w:r>
    </w:p>
  </w:footnote>
  <w:footnote w:id="95">
    <w:p w14:paraId="5C2BF24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[1989] 1NWLR(Pt97) 305 (SC).</w:t>
      </w:r>
    </w:p>
  </w:footnote>
  <w:footnote w:id="96">
    <w:p w14:paraId="1CFB8C3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Ogunleye v Oni (n 41) 774–775.</w:t>
      </w:r>
    </w:p>
  </w:footnote>
  <w:footnote w:id="97">
    <w:p w14:paraId="793F6A8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Adole v Gwar (n 6) 604–606.</w:t>
      </w:r>
    </w:p>
  </w:footnote>
  <w:footnote w:id="98">
    <w:p w14:paraId="10E5C41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Lewis Opara v Dowell Schlumberger (Nigeria) Ltd (n 67).</w:t>
      </w:r>
    </w:p>
  </w:footnote>
  <w:footnote w:id="99">
    <w:p w14:paraId="59A139B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Amadi and Agwor (n 14) 103–108.</w:t>
      </w:r>
    </w:p>
  </w:footnote>
  <w:footnote w:id="100">
    <w:p w14:paraId="19300FA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w:t>
      </w:r>
    </w:p>
  </w:footnote>
  <w:footnote w:id="101">
    <w:p w14:paraId="63D4476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Agwor and Amadi-Harry (n 15) 6–11.</w:t>
      </w:r>
    </w:p>
  </w:footnote>
  <w:footnote w:id="102">
    <w:p w14:paraId="61C482A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Ugonabo, Egolum and Sado (n 8) 8–13.</w:t>
      </w:r>
    </w:p>
  </w:footnote>
  <w:footnote w:id="103">
    <w:p w14:paraId="4AD41B2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Awojugbagbe Light Industries Ltd v Chinukwe (n 68) 435–436.</w:t>
      </w:r>
    </w:p>
  </w:footnote>
  <w:footnote w:id="104">
    <w:p w14:paraId="462277A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BMN Ltd v M/S Ola Ilemobola Ltd (n 69) 147–151.</w:t>
      </w:r>
    </w:p>
  </w:footnote>
  <w:footnote w:id="105">
    <w:p w14:paraId="3354AB9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46) 33–44.</w:t>
      </w:r>
    </w:p>
  </w:footnote>
  <w:footnote w:id="106">
    <w:p w14:paraId="52469D1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[1989] 4NWLR(Pt118) 646 (SC).</w:t>
      </w:r>
    </w:p>
  </w:footnote>
  <w:footnote w:id="107">
    <w:p w14:paraId="7A06274A">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ss 6, 34 and 36.</w:t>
      </w:r>
    </w:p>
  </w:footnote>
  <w:footnote w:id="108">
    <w:p w14:paraId="591E4634">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[1990] 4NWLR(Pt146)632 (SC).</w:t>
      </w:r>
    </w:p>
  </w:footnote>
  <w:footnote w:id="109">
    <w:p w14:paraId="797830B3">
      <w:pPr>
        <w:pStyle w:val="8"/>
        <w:rPr>
          <w:rFonts w:ascii="Times New Roman" w:hAnsi="Times New Roman" w:cs="Times New Roman"/>
          <w:lang w:val="en-US"/>
        </w:rPr>
      </w:pPr>
      <w:r>
        <w:rPr>
          <w:rStyle w:val="22"/>
          <w:rFonts w:ascii="Times New Roman" w:hAnsi="Times New Roman" w:cs="Times New Roman"/>
        </w:rPr>
        <w:footnoteRef/>
      </w:r>
      <w:r>
        <w:rPr>
          <w:rFonts w:ascii="Times New Roman" w:hAnsi="Times New Roman" w:cs="Times New Roman"/>
        </w:rPr>
        <w:t xml:space="preserve"> U Frank-Igwe and CIG Agwor, ‘Sale of Family Land in Nigeria’ [2023] (19)(1) </w:t>
      </w:r>
      <w:r>
        <w:rPr>
          <w:rFonts w:ascii="Times New Roman" w:hAnsi="Times New Roman" w:cs="Times New Roman"/>
          <w:i/>
        </w:rPr>
        <w:t>JPPL</w:t>
      </w:r>
      <w:r>
        <w:rPr>
          <w:rFonts w:ascii="Times New Roman" w:hAnsi="Times New Roman" w:cs="Times New Roman"/>
        </w:rPr>
        <w:t xml:space="preserve"> 54, 54–66 &lt;https://www.nigerianjournalsonline.com/index.php/PORTLAW&gt; accessed 30 June 2026.</w:t>
      </w:r>
    </w:p>
  </w:footnote>
  <w:footnote w:id="110">
    <w:p w14:paraId="12F12DE1">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LUA 2004, s 47.</w:t>
      </w:r>
    </w:p>
  </w:footnote>
  <w:footnote w:id="111">
    <w:p w14:paraId="4979C51D">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CFRN 1999 (as amended), ss 6(6)(b), 36(1) and 44(1).</w:t>
      </w:r>
    </w:p>
  </w:footnote>
  <w:footnote w:id="112">
    <w:p w14:paraId="5F8BC219">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[2000] 10NWLR(Pt674)116(SC).</w:t>
      </w:r>
    </w:p>
  </w:footnote>
  <w:footnote w:id="113">
    <w:p w14:paraId="0FA22DC0">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CFRN 1999 (as amended), ss 315(5)(d) and 9.</w:t>
      </w:r>
    </w:p>
  </w:footnote>
  <w:footnote w:id="114">
    <w:p w14:paraId="5BC1CB1B">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 s 9(2)– (3).</w:t>
      </w:r>
    </w:p>
  </w:footnote>
  <w:footnote w:id="115">
    <w:p w14:paraId="3499B907">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National Institute for Legislative and Democratic Studies, ‘Bill to Alter Section 315(5)(d) of the Constitution’ (2024) &lt;https://ir.nilds.gov.ng/bitstream/handle/123456789/2419/A%20BILL%20FOR%20AN%20ACT%20TO%20ALTER%20THE%20CONSTITUTION%20TO%20SIMPLIFY%20THE%20PROCEDURE%20FOR%20THE%20AMENDMENT%20OF%20THE%20LAND%20USE%20ACT%20ANDFOR%20RELATED%20MATTERS.pdf&gt; accessed 30 June 2026.</w:t>
      </w:r>
    </w:p>
  </w:footnote>
  <w:footnote w:id="116">
    <w:p w14:paraId="085C22C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Ibid.</w:t>
      </w:r>
    </w:p>
  </w:footnote>
  <w:footnote w:id="117">
    <w:p w14:paraId="51AFE378">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World Bank (n 81) 61–74.</w:t>
      </w:r>
    </w:p>
  </w:footnote>
  <w:footnote w:id="118">
    <w:p w14:paraId="63B659FE">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Ugonabo, Egolum and Sado (n 8) 10–16.</w:t>
      </w:r>
    </w:p>
  </w:footnote>
  <w:footnote w:id="119">
    <w:p w14:paraId="65A75896">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World Bank (n 81) 65–74.</w:t>
      </w:r>
    </w:p>
  </w:footnote>
  <w:footnote w:id="120">
    <w:p w14:paraId="5FFE613C">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FAO (n 78) paras 6.1–6.11 and 9.1–9.12.</w:t>
      </w:r>
    </w:p>
  </w:footnote>
  <w:footnote w:id="121">
    <w:p w14:paraId="3CE52678">
      <w:pPr>
        <w:pStyle w:val="8"/>
        <w:rPr>
          <w:rFonts w:ascii="Times New Roman" w:hAnsi="Times New Roman" w:cs="Times New Roman"/>
        </w:rPr>
      </w:pPr>
      <w:r>
        <w:rPr>
          <w:rStyle w:val="22"/>
          <w:rFonts w:ascii="Times New Roman" w:hAnsi="Times New Roman" w:cs="Times New Roman"/>
        </w:rPr>
        <w:footnoteRef/>
      </w:r>
      <w:r>
        <w:rPr>
          <w:rFonts w:ascii="Times New Roman" w:hAnsi="Times New Roman" w:cs="Times New Roman"/>
        </w:rPr>
        <w:t xml:space="preserve"> AG Lagos State v AG-Federation (n 75).</w:t>
      </w:r>
    </w:p>
  </w:footnote>
  <w:footnote w:id="122">
    <w:p w14:paraId="0C054FDB">
      <w:pPr>
        <w:pStyle w:val="8"/>
        <w:rPr>
          <w:rFonts w:ascii="Times New Roman" w:hAnsi="Times New Roman" w:cs="Times New Roman"/>
          <w:lang w:val="en-US"/>
        </w:rPr>
      </w:pPr>
      <w:r>
        <w:rPr>
          <w:rStyle w:val="22"/>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preferably thirty to sixty days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9F30E">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7B8A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0E99"/>
    <w:multiLevelType w:val="multilevel"/>
    <w:tmpl w:val="07660E9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7900572"/>
    <w:multiLevelType w:val="multilevel"/>
    <w:tmpl w:val="579005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ulTrailSpace/>
    <w:doNotBreakWrappedTables/>
    <w:doNotWrapTextWithPunct/>
    <w:doNotUseEastAsianBreakRules/>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1"/>
    <w:basedOn w:val="1"/>
    <w:next w:val="1"/>
    <w:link w:val="25"/>
    <w:qFormat/>
    <w:uiPriority w:val="9"/>
    <w:pPr>
      <w:spacing w:after="100" w:afterAutospacing="1" w:line="360" w:lineRule="auto"/>
      <w:jc w:val="center"/>
      <w:outlineLvl w:val="0"/>
    </w:pPr>
    <w:rPr>
      <w:rFonts w:ascii="Times New Roman" w:hAnsi="Times New Roman" w:eastAsia="Times New Roman" w:cs="Times New Roman"/>
      <w:b/>
      <w:bCs/>
      <w:kern w:val="36"/>
      <w:sz w:val="24"/>
      <w:szCs w:val="24"/>
    </w:rPr>
  </w:style>
  <w:style w:type="paragraph" w:styleId="3">
    <w:name w:val="heading 2"/>
    <w:basedOn w:val="1"/>
    <w:next w:val="1"/>
    <w:link w:val="26"/>
    <w:qFormat/>
    <w:uiPriority w:val="9"/>
    <w:pPr>
      <w:spacing w:after="100" w:afterAutospacing="1" w:line="480" w:lineRule="auto"/>
      <w:jc w:val="both"/>
      <w:outlineLvl w:val="1"/>
    </w:pPr>
    <w:rPr>
      <w:rFonts w:ascii="Times New Roman" w:hAnsi="Times New Roman" w:eastAsia="Times New Roman" w:cs="Times New Roman"/>
      <w:b/>
      <w:bCs/>
      <w:sz w:val="24"/>
      <w:szCs w:val="24"/>
    </w:rPr>
  </w:style>
  <w:style w:type="paragraph" w:styleId="4">
    <w:name w:val="heading 3"/>
    <w:basedOn w:val="1"/>
    <w:next w:val="1"/>
    <w:link w:val="27"/>
    <w:qFormat/>
    <w:uiPriority w:val="9"/>
    <w:pPr>
      <w:spacing w:after="100" w:afterAutospacing="1" w:line="480" w:lineRule="auto"/>
      <w:jc w:val="both"/>
      <w:outlineLvl w:val="2"/>
    </w:pPr>
    <w:rPr>
      <w:rFonts w:ascii="Times New Roman" w:hAnsi="Times New Roman" w:eastAsia="Times New Roman" w:cs="Times New Roman"/>
      <w:b/>
      <w:bCs/>
      <w:sz w:val="24"/>
      <w:szCs w:val="24"/>
    </w:rPr>
  </w:style>
  <w:style w:type="paragraph" w:styleId="5">
    <w:name w:val="heading 4"/>
    <w:basedOn w:val="1"/>
    <w:next w:val="1"/>
    <w:link w:val="28"/>
    <w:qFormat/>
    <w:uiPriority w:val="9"/>
    <w:pPr>
      <w:spacing w:after="100" w:afterAutospacing="1" w:line="480" w:lineRule="auto"/>
      <w:jc w:val="both"/>
      <w:outlineLvl w:val="3"/>
    </w:pPr>
    <w:rPr>
      <w:rFonts w:ascii="Times New Roman" w:hAnsi="Times New Roman" w:eastAsia="Times New Roman" w:cs="Times New Roman"/>
      <w:b/>
      <w:bCs/>
      <w:sz w:val="24"/>
      <w:szCs w:val="24"/>
    </w:rPr>
  </w:style>
  <w:style w:type="character" w:default="1" w:styleId="20">
    <w:name w:val="Default Paragraph Font"/>
    <w:unhideWhenUsed/>
    <w:uiPriority w:val="1"/>
  </w:style>
  <w:style w:type="table" w:default="1" w:styleId="24">
    <w:name w:val="Normal Table"/>
    <w:unhideWhenUsed/>
    <w:uiPriority w:val="99"/>
    <w:tblPr>
      <w:tblLayout w:type="fixed"/>
      <w:tblCellMar>
        <w:top w:w="0" w:type="dxa"/>
        <w:left w:w="108" w:type="dxa"/>
        <w:bottom w:w="0" w:type="dxa"/>
        <w:right w:w="108" w:type="dxa"/>
      </w:tblCellMar>
    </w:tblPr>
  </w:style>
  <w:style w:type="paragraph" w:styleId="6">
    <w:name w:val="Balloon Text"/>
    <w:basedOn w:val="1"/>
    <w:link w:val="35"/>
    <w:unhideWhenUsed/>
    <w:uiPriority w:val="99"/>
    <w:pPr>
      <w:spacing w:after="0" w:line="240" w:lineRule="auto"/>
    </w:pPr>
    <w:rPr>
      <w:rFonts w:ascii="Tahoma" w:hAnsi="Tahoma" w:cs="Tahoma"/>
      <w:sz w:val="16"/>
      <w:szCs w:val="16"/>
    </w:rPr>
  </w:style>
  <w:style w:type="paragraph" w:styleId="7">
    <w:name w:val="footer"/>
    <w:basedOn w:val="1"/>
    <w:link w:val="32"/>
    <w:unhideWhenUsed/>
    <w:uiPriority w:val="99"/>
    <w:pPr>
      <w:tabs>
        <w:tab w:val="center" w:pos="4680"/>
        <w:tab w:val="right" w:pos="9360"/>
      </w:tabs>
      <w:spacing w:after="0" w:line="240" w:lineRule="auto"/>
    </w:pPr>
  </w:style>
  <w:style w:type="paragraph" w:styleId="8">
    <w:name w:val="footnote text"/>
    <w:basedOn w:val="1"/>
    <w:link w:val="30"/>
    <w:unhideWhenUsed/>
    <w:uiPriority w:val="99"/>
    <w:pPr>
      <w:spacing w:after="0" w:line="240" w:lineRule="auto"/>
    </w:pPr>
    <w:rPr>
      <w:sz w:val="20"/>
      <w:szCs w:val="20"/>
    </w:rPr>
  </w:style>
  <w:style w:type="paragraph" w:styleId="9">
    <w:name w:val="header"/>
    <w:basedOn w:val="1"/>
    <w:link w:val="31"/>
    <w:unhideWhenUsed/>
    <w:uiPriority w:val="99"/>
    <w:pPr>
      <w:tabs>
        <w:tab w:val="center" w:pos="4680"/>
        <w:tab w:val="right" w:pos="9360"/>
      </w:tabs>
      <w:spacing w:after="0" w:line="240" w:lineRule="auto"/>
    </w:pPr>
  </w:style>
  <w:style w:type="paragraph" w:styleId="1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11">
    <w:name w:val="toc 1"/>
    <w:basedOn w:val="1"/>
    <w:next w:val="1"/>
    <w:unhideWhenUsed/>
    <w:uiPriority w:val="39"/>
    <w:pPr>
      <w:spacing w:after="100"/>
    </w:pPr>
  </w:style>
  <w:style w:type="paragraph" w:styleId="12">
    <w:name w:val="toc 2"/>
    <w:basedOn w:val="1"/>
    <w:next w:val="1"/>
    <w:unhideWhenUsed/>
    <w:uiPriority w:val="39"/>
    <w:pPr>
      <w:spacing w:after="100"/>
      <w:ind w:left="220"/>
    </w:pPr>
  </w:style>
  <w:style w:type="paragraph" w:styleId="13">
    <w:name w:val="toc 3"/>
    <w:basedOn w:val="1"/>
    <w:next w:val="1"/>
    <w:unhideWhenUsed/>
    <w:uiPriority w:val="39"/>
    <w:pPr>
      <w:spacing w:after="100"/>
      <w:ind w:left="440"/>
    </w:pPr>
  </w:style>
  <w:style w:type="paragraph" w:styleId="14">
    <w:name w:val="toc 4"/>
    <w:basedOn w:val="1"/>
    <w:next w:val="1"/>
    <w:unhideWhenUsed/>
    <w:uiPriority w:val="39"/>
    <w:pPr>
      <w:spacing w:after="100"/>
      <w:ind w:left="660"/>
    </w:pPr>
    <w:rPr>
      <w:rFonts w:eastAsiaTheme="minorEastAsia"/>
      <w:lang w:val="en-US"/>
    </w:rPr>
  </w:style>
  <w:style w:type="paragraph" w:styleId="15">
    <w:name w:val="toc 5"/>
    <w:basedOn w:val="1"/>
    <w:next w:val="1"/>
    <w:unhideWhenUsed/>
    <w:uiPriority w:val="39"/>
    <w:pPr>
      <w:spacing w:after="100"/>
      <w:ind w:left="880"/>
    </w:pPr>
    <w:rPr>
      <w:rFonts w:eastAsiaTheme="minorEastAsia"/>
      <w:lang w:val="en-US"/>
    </w:rPr>
  </w:style>
  <w:style w:type="paragraph" w:styleId="16">
    <w:name w:val="toc 6"/>
    <w:basedOn w:val="1"/>
    <w:next w:val="1"/>
    <w:unhideWhenUsed/>
    <w:uiPriority w:val="39"/>
    <w:pPr>
      <w:spacing w:after="100"/>
      <w:ind w:left="1100"/>
    </w:pPr>
    <w:rPr>
      <w:rFonts w:eastAsiaTheme="minorEastAsia"/>
      <w:lang w:val="en-US"/>
    </w:rPr>
  </w:style>
  <w:style w:type="paragraph" w:styleId="17">
    <w:name w:val="toc 7"/>
    <w:basedOn w:val="1"/>
    <w:next w:val="1"/>
    <w:unhideWhenUsed/>
    <w:uiPriority w:val="39"/>
    <w:pPr>
      <w:spacing w:after="100"/>
      <w:ind w:left="1320"/>
    </w:pPr>
    <w:rPr>
      <w:rFonts w:eastAsiaTheme="minorEastAsia"/>
      <w:lang w:val="en-US"/>
    </w:rPr>
  </w:style>
  <w:style w:type="paragraph" w:styleId="18">
    <w:name w:val="toc 8"/>
    <w:basedOn w:val="1"/>
    <w:next w:val="1"/>
    <w:unhideWhenUsed/>
    <w:uiPriority w:val="39"/>
    <w:pPr>
      <w:spacing w:after="100"/>
      <w:ind w:left="1540"/>
    </w:pPr>
    <w:rPr>
      <w:rFonts w:eastAsiaTheme="minorEastAsia"/>
      <w:lang w:val="en-US"/>
    </w:rPr>
  </w:style>
  <w:style w:type="paragraph" w:styleId="19">
    <w:name w:val="toc 9"/>
    <w:basedOn w:val="1"/>
    <w:next w:val="1"/>
    <w:unhideWhenUsed/>
    <w:uiPriority w:val="39"/>
    <w:pPr>
      <w:spacing w:after="100"/>
      <w:ind w:left="1760"/>
    </w:pPr>
    <w:rPr>
      <w:rFonts w:eastAsiaTheme="minorEastAsia"/>
      <w:lang w:val="en-US"/>
    </w:rPr>
  </w:style>
  <w:style w:type="character" w:styleId="21">
    <w:name w:val="Emphasis"/>
    <w:basedOn w:val="20"/>
    <w:qFormat/>
    <w:uiPriority w:val="20"/>
    <w:rPr>
      <w:i/>
      <w:iCs/>
    </w:rPr>
  </w:style>
  <w:style w:type="character" w:styleId="22">
    <w:name w:val="footnote reference"/>
    <w:basedOn w:val="20"/>
    <w:unhideWhenUsed/>
    <w:uiPriority w:val="99"/>
    <w:rPr>
      <w:vertAlign w:val="superscript"/>
    </w:rPr>
  </w:style>
  <w:style w:type="character" w:styleId="23">
    <w:name w:val="Hyperlink"/>
    <w:basedOn w:val="20"/>
    <w:unhideWhenUsed/>
    <w:uiPriority w:val="99"/>
    <w:rPr>
      <w:color w:val="0000FF"/>
      <w:u w:val="single"/>
    </w:rPr>
  </w:style>
  <w:style w:type="character" w:customStyle="1" w:styleId="25">
    <w:name w:val="Heading 1 Char"/>
    <w:basedOn w:val="20"/>
    <w:link w:val="2"/>
    <w:uiPriority w:val="9"/>
    <w:rPr>
      <w:rFonts w:ascii="Times New Roman" w:hAnsi="Times New Roman" w:eastAsia="Times New Roman" w:cs="Times New Roman"/>
      <w:b/>
      <w:bCs/>
      <w:kern w:val="36"/>
    </w:rPr>
  </w:style>
  <w:style w:type="character" w:customStyle="1" w:styleId="26">
    <w:name w:val="Heading 2 Char"/>
    <w:basedOn w:val="20"/>
    <w:link w:val="3"/>
    <w:uiPriority w:val="9"/>
    <w:rPr>
      <w:rFonts w:ascii="Times New Roman" w:hAnsi="Times New Roman" w:eastAsia="Times New Roman" w:cs="Times New Roman"/>
      <w:b/>
      <w:bCs/>
    </w:rPr>
  </w:style>
  <w:style w:type="character" w:customStyle="1" w:styleId="27">
    <w:name w:val="Heading 3 Char"/>
    <w:basedOn w:val="20"/>
    <w:link w:val="4"/>
    <w:uiPriority w:val="9"/>
    <w:rPr>
      <w:rFonts w:ascii="Times New Roman" w:hAnsi="Times New Roman" w:eastAsia="Times New Roman" w:cs="Times New Roman"/>
      <w:b/>
      <w:bCs/>
    </w:rPr>
  </w:style>
  <w:style w:type="character" w:customStyle="1" w:styleId="28">
    <w:name w:val="Heading 4 Char"/>
    <w:basedOn w:val="20"/>
    <w:link w:val="5"/>
    <w:uiPriority w:val="9"/>
    <w:rPr>
      <w:rFonts w:ascii="Times New Roman" w:hAnsi="Times New Roman" w:eastAsia="Times New Roman" w:cs="Times New Roman"/>
      <w:b/>
      <w:bCs/>
    </w:rPr>
  </w:style>
  <w:style w:type="table" w:customStyle="1" w:styleId="29">
    <w:name w:val="Blaise Style1"/>
    <w:basedOn w:val="24"/>
    <w:qFormat/>
    <w:uiPriority w:val="99"/>
    <w:rPr>
      <w:sz w:val="22"/>
      <w:szCs w:val="22"/>
      <w:lang w:val="en-US"/>
    </w:rPr>
    <w:tblPr>
      <w:tblBorders>
        <w:top w:val="single" w:color="8496B0" w:themeColor="text2" w:themeTint="99" w:sz="12" w:space="0"/>
        <w:left w:val="single" w:color="8496B0" w:themeColor="text2" w:themeTint="99" w:sz="12" w:space="0"/>
        <w:bottom w:val="single" w:color="8496B0" w:themeColor="text2" w:themeTint="99" w:sz="12" w:space="0"/>
        <w:right w:val="single" w:color="8496B0" w:themeColor="text2" w:themeTint="99" w:sz="12" w:space="0"/>
        <w:insideH w:val="single" w:color="8496B0" w:themeColor="text2" w:themeTint="99" w:sz="12" w:space="0"/>
        <w:insideV w:val="single" w:color="8496B0" w:themeColor="text2" w:themeTint="99" w:sz="12" w:space="0"/>
      </w:tblBorders>
      <w:tblLayout w:type="fixed"/>
    </w:tblPr>
    <w:tcPr>
      <w:shd w:val="clear" w:color="auto" w:fill="auto"/>
    </w:tcPr>
  </w:style>
  <w:style w:type="character" w:customStyle="1" w:styleId="30">
    <w:name w:val="Footnote Text Char"/>
    <w:basedOn w:val="20"/>
    <w:link w:val="8"/>
    <w:semiHidden/>
    <w:uiPriority w:val="99"/>
    <w:rPr>
      <w:sz w:val="20"/>
      <w:szCs w:val="20"/>
    </w:rPr>
  </w:style>
  <w:style w:type="character" w:customStyle="1" w:styleId="31">
    <w:name w:val="Header Char"/>
    <w:basedOn w:val="20"/>
    <w:link w:val="9"/>
    <w:uiPriority w:val="99"/>
    <w:rPr>
      <w:sz w:val="22"/>
      <w:szCs w:val="22"/>
    </w:rPr>
  </w:style>
  <w:style w:type="character" w:customStyle="1" w:styleId="32">
    <w:name w:val="Footer Char"/>
    <w:basedOn w:val="20"/>
    <w:link w:val="7"/>
    <w:uiPriority w:val="99"/>
    <w:rPr>
      <w:sz w:val="22"/>
      <w:szCs w:val="22"/>
    </w:rPr>
  </w:style>
  <w:style w:type="paragraph" w:customStyle="1" w:styleId="33">
    <w:name w:val="List Paragraph"/>
    <w:basedOn w:val="1"/>
    <w:qFormat/>
    <w:uiPriority w:val="34"/>
    <w:pPr>
      <w:ind w:left="720"/>
      <w:contextualSpacing/>
    </w:pPr>
  </w:style>
  <w:style w:type="paragraph" w:customStyle="1" w:styleId="34">
    <w:name w:val="TOC Heading"/>
    <w:basedOn w:val="2"/>
    <w:next w:val="1"/>
    <w:unhideWhenUsed/>
    <w:qFormat/>
    <w:uiPriority w:val="39"/>
    <w:pPr>
      <w:keepNext/>
      <w:keepLines/>
      <w:spacing w:before="480" w:after="0" w:afterAutospacing="0" w:line="276" w:lineRule="auto"/>
      <w:jc w:val="left"/>
      <w:outlineLvl w:val="9"/>
    </w:pPr>
    <w:rPr>
      <w:rFonts w:asciiTheme="majorHAnsi" w:hAnsiTheme="majorHAnsi" w:eastAsiaTheme="majorEastAsia" w:cstheme="majorBidi"/>
      <w:color w:val="2F5496" w:themeColor="accent1" w:themeShade="BF"/>
      <w:kern w:val="0"/>
      <w:sz w:val="28"/>
      <w:szCs w:val="28"/>
      <w:lang w:val="en-US"/>
    </w:rPr>
  </w:style>
  <w:style w:type="character" w:customStyle="1" w:styleId="35">
    <w:name w:val="Balloon Text Char"/>
    <w:basedOn w:val="20"/>
    <w:link w:val="6"/>
    <w:semiHidden/>
    <w:uiPriority w:val="99"/>
    <w:rPr>
      <w:rFonts w:ascii="Tahoma" w:hAnsi="Tahoma" w:cs="Tahoma"/>
      <w:sz w:val="16"/>
      <w:szCs w:val="16"/>
    </w:rPr>
  </w:style>
  <w:style w:type="paragraph" w:customStyle="1" w:styleId="36">
    <w:name w:val="p1"/>
    <w:basedOn w:val="1"/>
    <w:uiPriority w:val="0"/>
    <w:pPr>
      <w:spacing w:after="0" w:line="240" w:lineRule="auto"/>
    </w:pPr>
    <w:rPr>
      <w:rFonts w:ascii=".AppleSystemUIFont" w:hAnsi=".AppleSystemUIFont" w:eastAsia="Times New Roman" w:cs="Times New Roman"/>
      <w:sz w:val="21"/>
      <w:szCs w:val="21"/>
      <w:lang w:eastAsia="en-GB"/>
    </w:rPr>
  </w:style>
  <w:style w:type="paragraph" w:customStyle="1" w:styleId="37">
    <w:name w:val="p2"/>
    <w:basedOn w:val="1"/>
    <w:uiPriority w:val="0"/>
    <w:pPr>
      <w:spacing w:after="0" w:line="240" w:lineRule="auto"/>
    </w:pPr>
    <w:rPr>
      <w:rFonts w:ascii=".AppleSystemUIFont" w:hAnsi=".AppleSystemUIFont" w:eastAsia="Times New Roman" w:cs="Times New Roman"/>
      <w:sz w:val="21"/>
      <w:szCs w:val="21"/>
      <w:lang w:eastAsia="en-GB"/>
    </w:rPr>
  </w:style>
  <w:style w:type="character" w:customStyle="1" w:styleId="38">
    <w:name w:val="s1"/>
    <w:basedOn w:val="20"/>
    <w:uiPriority w:val="0"/>
    <w:rPr>
      <w:rFonts w:hint="default" w:ascii="UICTFontTextStyleBody" w:hAnsi="UICTFontTextStyleBody"/>
      <w:sz w:val="21"/>
      <w:szCs w:val="21"/>
    </w:rPr>
  </w:style>
  <w:style w:type="character" w:customStyle="1" w:styleId="39">
    <w:name w:val="apple-converted-space"/>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19468</Words>
  <Characters>110971</Characters>
  <Lines>924</Lines>
  <Paragraphs>260</Paragraphs>
  <TotalTime>0</TotalTime>
  <ScaleCrop>false</ScaleCrop>
  <LinksUpToDate>false</LinksUpToDate>
  <CharactersWithSpaces>130179</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Multiplicator02</dc:creator>
  <cp:lastModifiedBy>iPhone</cp:lastModifiedBy>
  <dcterms:modified xsi:type="dcterms:W3CDTF">2026-07-24T10:56:19Z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3717FFA6CCFD2383232E636AED3D2567_31</vt:lpwstr>
  </property>
  <property fmtid="{D5CDD505-2E9C-101B-9397-08002B2CF9AE}" pid="3" name="KSOProductBuildVer">
    <vt:lpwstr>3081-26.3.0</vt:lpwstr>
  </property>
</Properties>
</file>