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1371908">
      <w:pPr>
        <w:pStyle w:val="style0"/>
        <w:spacing w:after="0" w:lineRule="auto" w:line="240"/>
        <w:rPr>
          <w:rFonts w:ascii="Times New Roman" w:cs="Times New Roman" w:hAnsi="Times New Roman"/>
          <w:b/>
          <w:sz w:val="24"/>
          <w:szCs w:val="24"/>
        </w:rPr>
      </w:pPr>
    </w:p>
    <w:p w14:paraId="3BC7B280">
      <w:pPr>
        <w:pStyle w:val="style0"/>
        <w:spacing w:lineRule="auto" w:line="360"/>
        <w:jc w:val="both"/>
        <w:rPr>
          <w:rFonts w:ascii="Times New Roman" w:cs="Times New Roman" w:hAnsi="Times New Roman"/>
          <w:sz w:val="24"/>
          <w:szCs w:val="24"/>
        </w:rPr>
      </w:pPr>
    </w:p>
    <w:p w14:paraId="6E6F1ACD">
      <w:pPr>
        <w:pStyle w:val="style0"/>
        <w:spacing w:lineRule="auto" w:line="360"/>
        <w:jc w:val="both"/>
        <w:rPr>
          <w:rFonts w:ascii="Times New Roman" w:cs="Times New Roman" w:hAnsi="Times New Roman"/>
          <w:sz w:val="24"/>
          <w:szCs w:val="24"/>
        </w:rPr>
      </w:pPr>
    </w:p>
    <w:p w14:paraId="4EEBFF2D">
      <w:pPr>
        <w:pStyle w:val="style0"/>
        <w:spacing w:lineRule="auto" w:line="360"/>
        <w:jc w:val="both"/>
        <w:rPr>
          <w:rFonts w:ascii="Times New Roman" w:cs="Times New Roman" w:hAnsi="Times New Roman"/>
          <w:sz w:val="24"/>
          <w:szCs w:val="24"/>
        </w:rPr>
      </w:pPr>
    </w:p>
    <w:p w14:paraId="79637068">
      <w:pPr>
        <w:pStyle w:val="style0"/>
        <w:spacing w:lineRule="auto" w:line="360"/>
        <w:jc w:val="both"/>
        <w:rPr>
          <w:rFonts w:ascii="Times New Roman" w:cs="Times New Roman" w:hAnsi="Times New Roman"/>
          <w:sz w:val="24"/>
          <w:szCs w:val="24"/>
        </w:rPr>
      </w:pPr>
    </w:p>
    <w:p w14:paraId="58163B70">
      <w:pPr>
        <w:pStyle w:val="style0"/>
        <w:spacing w:lineRule="auto" w:line="360"/>
        <w:jc w:val="both"/>
        <w:rPr>
          <w:rFonts w:ascii="Times New Roman" w:cs="Times New Roman" w:hAnsi="Times New Roman"/>
          <w:sz w:val="24"/>
          <w:szCs w:val="24"/>
        </w:rPr>
      </w:pPr>
    </w:p>
    <w:p w14:paraId="56FFA453">
      <w:pPr>
        <w:pStyle w:val="style0"/>
        <w:spacing w:lineRule="auto" w:line="360"/>
        <w:jc w:val="both"/>
        <w:rPr>
          <w:rFonts w:ascii="Times New Roman" w:cs="Times New Roman" w:hAnsi="Times New Roman"/>
          <w:sz w:val="24"/>
          <w:szCs w:val="24"/>
        </w:rPr>
      </w:pPr>
    </w:p>
    <w:p w14:paraId="1A38458E">
      <w:pPr>
        <w:pStyle w:val="style0"/>
        <w:spacing w:lineRule="auto" w:line="360"/>
        <w:jc w:val="both"/>
        <w:rPr>
          <w:rFonts w:ascii="Times New Roman" w:cs="Times New Roman" w:hAnsi="Times New Roman"/>
          <w:sz w:val="24"/>
          <w:szCs w:val="24"/>
        </w:rPr>
      </w:pPr>
    </w:p>
    <w:p w14:paraId="217CD03C">
      <w:pPr>
        <w:pStyle w:val="style0"/>
        <w:spacing w:lineRule="auto" w:line="360"/>
        <w:jc w:val="both"/>
        <w:rPr>
          <w:rFonts w:ascii="Times New Roman" w:cs="Times New Roman" w:hAnsi="Times New Roman"/>
          <w:sz w:val="24"/>
          <w:szCs w:val="24"/>
        </w:rPr>
      </w:pPr>
    </w:p>
    <w:p w14:paraId="65E3E435">
      <w:pPr>
        <w:pStyle w:val="style0"/>
        <w:spacing w:lineRule="auto" w:line="360"/>
        <w:jc w:val="both"/>
        <w:rPr>
          <w:rFonts w:ascii="Times New Roman" w:cs="Times New Roman" w:hAnsi="Times New Roman"/>
          <w:sz w:val="24"/>
          <w:szCs w:val="24"/>
        </w:rPr>
      </w:pPr>
    </w:p>
    <w:p w14:paraId="5B141CE4">
      <w:pPr>
        <w:pStyle w:val="style0"/>
        <w:spacing w:lineRule="auto" w:line="360"/>
        <w:jc w:val="both"/>
        <w:rPr>
          <w:rFonts w:ascii="Times New Roman" w:cs="Times New Roman" w:hAnsi="Times New Roman"/>
          <w:sz w:val="24"/>
          <w:szCs w:val="24"/>
        </w:rPr>
      </w:pPr>
    </w:p>
    <w:p w14:paraId="0A7ED545">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55F91679">
      <w:pPr>
        <w:pStyle w:val="style0"/>
        <w:spacing w:lineRule="auto" w:line="360"/>
        <w:jc w:val="both"/>
        <w:rPr>
          <w:rFonts w:ascii="Times New Roman" w:cs="Times New Roman" w:hAnsi="Times New Roman"/>
          <w:sz w:val="24"/>
          <w:szCs w:val="24"/>
        </w:rPr>
      </w:pPr>
    </w:p>
    <w:p w14:paraId="7D0ECF0B">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3E9CFD92">
      <w:pPr>
        <w:pStyle w:val="style0"/>
        <w:rPr>
          <w:rFonts w:ascii="Times New Roman" w:cs="Times New Roman" w:hAnsi="Times New Roman"/>
          <w:sz w:val="24"/>
          <w:szCs w:val="24"/>
        </w:rPr>
      </w:pPr>
      <w:r>
        <w:rPr>
          <w:rFonts w:ascii="Times New Roman" w:cs="Times New Roman" w:hAnsi="Times New Roman"/>
          <w:sz w:val="24"/>
          <w:szCs w:val="24"/>
        </w:rPr>
        <w:br w:type="page"/>
      </w:r>
    </w:p>
    <w:p w14:paraId="52B8C39E">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A LEGAL ANALYSIS OF PARENTAGE AND LEGAL RECOGNITION OF CHILDREN BORN THROUGH SURROGACY AND ASSISTED REPRODUCTIVE TECHNOLOGIES IN NIGERIA</w:t>
      </w:r>
    </w:p>
    <w:p w14:paraId="1A006DBD">
      <w:pPr>
        <w:pStyle w:val="style0"/>
        <w:spacing w:lineRule="auto" w:line="360"/>
        <w:jc w:val="center"/>
        <w:rPr>
          <w:rFonts w:ascii="Times New Roman" w:cs="Times New Roman" w:hAnsi="Times New Roman"/>
          <w:b/>
          <w:sz w:val="24"/>
          <w:szCs w:val="24"/>
        </w:rPr>
      </w:pPr>
    </w:p>
    <w:p w14:paraId="7E2AE319">
      <w:pPr>
        <w:pStyle w:val="style0"/>
        <w:spacing w:lineRule="auto" w:line="360"/>
        <w:jc w:val="center"/>
        <w:rPr>
          <w:rFonts w:ascii="Times New Roman" w:cs="Times New Roman" w:hAnsi="Times New Roman"/>
          <w:b/>
          <w:sz w:val="24"/>
          <w:szCs w:val="24"/>
        </w:rPr>
      </w:pPr>
    </w:p>
    <w:p w14:paraId="608512D0">
      <w:pPr>
        <w:pStyle w:val="style0"/>
        <w:spacing w:lineRule="auto" w:line="360"/>
        <w:jc w:val="center"/>
        <w:rPr>
          <w:rFonts w:ascii="Times New Roman" w:cs="Times New Roman" w:hAnsi="Times New Roman"/>
          <w:b/>
          <w:sz w:val="24"/>
          <w:szCs w:val="24"/>
        </w:rPr>
      </w:pPr>
    </w:p>
    <w:p w14:paraId="0C2D5331">
      <w:pPr>
        <w:pStyle w:val="style0"/>
        <w:spacing w:lineRule="auto" w:line="360"/>
        <w:jc w:val="center"/>
        <w:rPr>
          <w:rFonts w:ascii="Times New Roman" w:cs="Times New Roman" w:hAnsi="Times New Roman"/>
          <w:b/>
          <w:sz w:val="24"/>
          <w:szCs w:val="24"/>
        </w:rPr>
      </w:pPr>
    </w:p>
    <w:p w14:paraId="42D0A3D0">
      <w:pPr>
        <w:pStyle w:val="style0"/>
        <w:spacing w:lineRule="auto" w:line="360"/>
        <w:jc w:val="center"/>
        <w:rPr>
          <w:rFonts w:ascii="Times New Roman" w:cs="Times New Roman" w:hAnsi="Times New Roman"/>
          <w:b/>
          <w:sz w:val="24"/>
          <w:szCs w:val="24"/>
        </w:rPr>
      </w:pPr>
    </w:p>
    <w:p w14:paraId="1D3EE821">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PRINCESS EBUBECHUKWU OGBONNA</w:t>
      </w:r>
    </w:p>
    <w:p w14:paraId="69327D82">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GOU/U21/LAW/363</w:t>
      </w:r>
    </w:p>
    <w:p w14:paraId="3FF73707">
      <w:pPr>
        <w:pStyle w:val="style0"/>
        <w:spacing w:lineRule="auto" w:line="360"/>
        <w:jc w:val="center"/>
        <w:rPr>
          <w:rFonts w:ascii="Times New Roman" w:cs="Times New Roman" w:hAnsi="Times New Roman"/>
          <w:b/>
          <w:sz w:val="24"/>
          <w:szCs w:val="24"/>
        </w:rPr>
      </w:pPr>
    </w:p>
    <w:p w14:paraId="7FFDF515">
      <w:pPr>
        <w:pStyle w:val="style0"/>
        <w:spacing w:lineRule="auto" w:line="360"/>
        <w:jc w:val="center"/>
        <w:rPr>
          <w:rFonts w:ascii="Times New Roman" w:cs="Times New Roman" w:hAnsi="Times New Roman"/>
          <w:b/>
          <w:sz w:val="24"/>
          <w:szCs w:val="24"/>
        </w:rPr>
      </w:pPr>
    </w:p>
    <w:p w14:paraId="7273D440">
      <w:pPr>
        <w:pStyle w:val="style0"/>
        <w:spacing w:lineRule="auto" w:line="360"/>
        <w:jc w:val="center"/>
        <w:rPr>
          <w:rFonts w:ascii="Times New Roman" w:cs="Times New Roman" w:hAnsi="Times New Roman"/>
          <w:b/>
          <w:sz w:val="24"/>
          <w:szCs w:val="24"/>
        </w:rPr>
      </w:pPr>
    </w:p>
    <w:p w14:paraId="06D8CA9E">
      <w:pPr>
        <w:pStyle w:val="style0"/>
        <w:spacing w:lineRule="auto" w:line="360"/>
        <w:jc w:val="center"/>
        <w:rPr>
          <w:rFonts w:ascii="Times New Roman" w:cs="Times New Roman" w:hAnsi="Times New Roman"/>
          <w:b/>
          <w:sz w:val="24"/>
          <w:szCs w:val="24"/>
        </w:rPr>
      </w:pPr>
    </w:p>
    <w:p w14:paraId="2A7075AC">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JULY 2026</w:t>
      </w:r>
    </w:p>
    <w:p w14:paraId="7A6368BE">
      <w:pPr>
        <w:pStyle w:val="style0"/>
        <w:spacing w:lineRule="auto" w:line="360"/>
        <w:jc w:val="both"/>
        <w:rPr>
          <w:rFonts w:ascii="Times New Roman" w:cs="Times New Roman" w:hAnsi="Times New Roman"/>
          <w:sz w:val="24"/>
          <w:szCs w:val="24"/>
        </w:rPr>
      </w:pPr>
    </w:p>
    <w:p w14:paraId="7D0C2DB9">
      <w:pPr>
        <w:pStyle w:val="style0"/>
        <w:spacing w:lineRule="auto" w:line="360"/>
        <w:jc w:val="both"/>
        <w:rPr>
          <w:rFonts w:ascii="Times New Roman" w:cs="Times New Roman" w:hAnsi="Times New Roman"/>
          <w:sz w:val="24"/>
          <w:szCs w:val="24"/>
        </w:rPr>
      </w:pPr>
    </w:p>
    <w:p w14:paraId="00BE7999">
      <w:pPr>
        <w:pStyle w:val="style0"/>
        <w:spacing w:lineRule="auto" w:line="360"/>
        <w:jc w:val="both"/>
        <w:rPr>
          <w:rFonts w:ascii="Times New Roman" w:cs="Times New Roman" w:hAnsi="Times New Roman"/>
          <w:sz w:val="24"/>
          <w:szCs w:val="24"/>
        </w:rPr>
      </w:pPr>
    </w:p>
    <w:p w14:paraId="6F8C85B8">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  </w:t>
      </w:r>
    </w:p>
    <w:p w14:paraId="77CB3FC8">
      <w:pPr>
        <w:pStyle w:val="style0"/>
        <w:rPr>
          <w:rFonts w:ascii="Times New Roman" w:cs="Times New Roman" w:hAnsi="Times New Roman"/>
          <w:sz w:val="24"/>
          <w:szCs w:val="24"/>
        </w:rPr>
        <w:sectPr>
          <w:pgSz w:w="11907" w:h="16839" w:orient="portrait"/>
          <w:pgMar w:top="1440" w:right="1440" w:bottom="1440" w:left="1440" w:header="720" w:footer="720" w:gutter="0"/>
          <w:cols w:space="720" w:num="1"/>
          <w:docGrid w:linePitch="360" w:charSpace="0"/>
        </w:sectPr>
      </w:pPr>
      <w:r>
        <w:rPr>
          <w:rFonts w:ascii="Times New Roman" w:cs="Times New Roman" w:hAnsi="Times New Roman"/>
          <w:sz w:val="24"/>
          <w:szCs w:val="24"/>
        </w:rPr>
        <w:br w:type="page"/>
      </w:r>
    </w:p>
    <w:bookmarkStart w:id="0" w:name="_Toc233678204"/>
    <w:p w14:paraId="6D94352A">
      <w:pPr>
        <w:pStyle w:val="style1"/>
        <w:rPr/>
      </w:pPr>
      <w:r>
        <w:t>TITLE PAGE</w:t>
      </w:r>
      <w:bookmarkEnd w:id="0"/>
    </w:p>
    <w:p w14:paraId="72777441">
      <w:pPr>
        <w:pStyle w:val="style0"/>
        <w:spacing w:lineRule="auto" w:line="360"/>
        <w:jc w:val="center"/>
        <w:rPr>
          <w:rFonts w:ascii="Times New Roman" w:cs="Times New Roman" w:hAnsi="Times New Roman"/>
          <w:sz w:val="24"/>
          <w:szCs w:val="24"/>
        </w:rPr>
      </w:pPr>
    </w:p>
    <w:p w14:paraId="7FCB67AF">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A LEGAL ANALYSIS OF PARENTAGE AND LEGAL RECOGNITION OF CHILDREN BORN THROUGH SURROGACY AND ASSISTED REPRODUCTIVE TECHNOLOGIES IN NIGERIA</w:t>
      </w:r>
    </w:p>
    <w:p w14:paraId="71533E6A">
      <w:pPr>
        <w:pStyle w:val="style0"/>
        <w:spacing w:lineRule="auto" w:line="360"/>
        <w:jc w:val="center"/>
        <w:rPr>
          <w:rFonts w:ascii="Times New Roman" w:cs="Times New Roman" w:hAnsi="Times New Roman"/>
          <w:sz w:val="24"/>
          <w:szCs w:val="24"/>
        </w:rPr>
      </w:pPr>
    </w:p>
    <w:p w14:paraId="277F4A11">
      <w:pPr>
        <w:pStyle w:val="style0"/>
        <w:spacing w:lineRule="auto" w:line="360"/>
        <w:jc w:val="center"/>
        <w:rPr>
          <w:rFonts w:ascii="Times New Roman" w:cs="Times New Roman" w:hAnsi="Times New Roman"/>
          <w:sz w:val="24"/>
          <w:szCs w:val="24"/>
        </w:rPr>
      </w:pPr>
    </w:p>
    <w:p w14:paraId="510579BA">
      <w:pPr>
        <w:pStyle w:val="style0"/>
        <w:spacing w:lineRule="auto" w:line="360"/>
        <w:jc w:val="center"/>
        <w:rPr>
          <w:rFonts w:ascii="Times New Roman" w:cs="Times New Roman" w:hAnsi="Times New Roman"/>
          <w:sz w:val="24"/>
          <w:szCs w:val="24"/>
        </w:rPr>
      </w:pPr>
    </w:p>
    <w:p w14:paraId="337D24F3">
      <w:pPr>
        <w:pStyle w:val="style0"/>
        <w:spacing w:lineRule="auto" w:line="360"/>
        <w:jc w:val="center"/>
        <w:rPr>
          <w:rFonts w:ascii="Times New Roman" w:cs="Times New Roman" w:hAnsi="Times New Roman"/>
          <w:sz w:val="24"/>
          <w:szCs w:val="24"/>
        </w:rPr>
      </w:pPr>
    </w:p>
    <w:p w14:paraId="78EAFB5A">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PRINCESS EBUBECHUKWU OGBONNA</w:t>
      </w:r>
    </w:p>
    <w:p w14:paraId="744F3BD5">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GOU/U21/LAW/363</w:t>
      </w:r>
    </w:p>
    <w:p w14:paraId="38FE304C">
      <w:pPr>
        <w:pStyle w:val="style0"/>
        <w:spacing w:lineRule="auto" w:line="360"/>
        <w:jc w:val="center"/>
        <w:rPr>
          <w:rFonts w:ascii="Times New Roman" w:cs="Times New Roman" w:hAnsi="Times New Roman"/>
          <w:sz w:val="24"/>
          <w:szCs w:val="24"/>
        </w:rPr>
      </w:pPr>
    </w:p>
    <w:p w14:paraId="013D6A5C">
      <w:pPr>
        <w:pStyle w:val="style0"/>
        <w:spacing w:lineRule="auto" w:line="360"/>
        <w:jc w:val="center"/>
        <w:rPr>
          <w:rFonts w:ascii="Times New Roman" w:cs="Times New Roman" w:hAnsi="Times New Roman"/>
          <w:sz w:val="24"/>
          <w:szCs w:val="24"/>
        </w:rPr>
      </w:pPr>
    </w:p>
    <w:p w14:paraId="1870F533">
      <w:pPr>
        <w:pStyle w:val="style0"/>
        <w:spacing w:lineRule="auto" w:line="360"/>
        <w:jc w:val="center"/>
        <w:rPr>
          <w:rFonts w:ascii="Times New Roman" w:cs="Times New Roman" w:hAnsi="Times New Roman"/>
          <w:sz w:val="24"/>
          <w:szCs w:val="24"/>
        </w:rPr>
      </w:pPr>
    </w:p>
    <w:p w14:paraId="39E26115">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BEING A LONG ESSAY PRESENTED TO THE FACULTY OF LAW, GODFREY OKOYE UNIVERSITY, ENUGU STATE, IN PARTIAL FULFILMENT OF THE REQUIREMENTS FOR THE AWARD FO THE BACHELOR OF LAW (LL.B) DEGREE</w:t>
      </w:r>
    </w:p>
    <w:p w14:paraId="547D482B">
      <w:pPr>
        <w:pStyle w:val="style0"/>
        <w:spacing w:lineRule="auto" w:line="360"/>
        <w:rPr>
          <w:rFonts w:ascii="Times New Roman" w:cs="Times New Roman" w:hAnsi="Times New Roman"/>
          <w:sz w:val="24"/>
          <w:szCs w:val="24"/>
        </w:rPr>
      </w:pPr>
    </w:p>
    <w:p w14:paraId="7EE72125">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SUPERVISOR: MRS. NWAKAEGO OGBAJI</w:t>
      </w:r>
    </w:p>
    <w:p w14:paraId="666D17A3">
      <w:pPr>
        <w:pStyle w:val="style0"/>
        <w:spacing w:lineRule="auto" w:line="360"/>
        <w:jc w:val="both"/>
        <w:rPr>
          <w:rFonts w:ascii="Times New Roman" w:cs="Times New Roman" w:hAnsi="Times New Roman"/>
          <w:sz w:val="24"/>
          <w:szCs w:val="24"/>
        </w:rPr>
      </w:pPr>
    </w:p>
    <w:p w14:paraId="3B8E0BA1">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JULY 2026</w:t>
      </w:r>
    </w:p>
    <w:p w14:paraId="5EFFF6B7">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10901FED">
      <w:pPr>
        <w:pStyle w:val="style0"/>
        <w:rPr>
          <w:rFonts w:ascii="Times New Roman" w:cs="Times New Roman" w:hAnsi="Times New Roman"/>
          <w:sz w:val="24"/>
          <w:szCs w:val="24"/>
        </w:rPr>
      </w:pPr>
      <w:r>
        <w:rPr>
          <w:rFonts w:ascii="Times New Roman" w:cs="Times New Roman" w:hAnsi="Times New Roman"/>
          <w:sz w:val="24"/>
          <w:szCs w:val="24"/>
        </w:rPr>
        <w:br w:type="page"/>
      </w:r>
    </w:p>
    <w:p w14:paraId="2B3E4312">
      <w:pPr>
        <w:pStyle w:val="style0"/>
        <w:spacing w:lineRule="auto" w:line="360"/>
        <w:jc w:val="both"/>
        <w:rPr>
          <w:rFonts w:ascii="Times New Roman" w:cs="Times New Roman" w:hAnsi="Times New Roman"/>
          <w:sz w:val="24"/>
          <w:szCs w:val="24"/>
        </w:rPr>
      </w:pPr>
      <w:r>
        <w:rPr/>
        <w:drawing>
          <wp:inline distL="0" distT="0" distB="0" distR="0">
            <wp:extent cx="4658650" cy="7063353"/>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4658650" cy="7063353"/>
                    </a:xfrm>
                    <a:prstGeom prst="rect"/>
                  </pic:spPr>
                </pic:pic>
              </a:graphicData>
            </a:graphic>
          </wp:inline>
        </w:drawing>
      </w:r>
    </w:p>
    <w:p w14:paraId="153017CE">
      <w:pPr>
        <w:pStyle w:val="style0"/>
        <w:rPr>
          <w:rFonts w:ascii="Times New Roman" w:cs="Times New Roman" w:hAnsi="Times New Roman"/>
          <w:sz w:val="24"/>
          <w:szCs w:val="24"/>
        </w:rPr>
      </w:pPr>
      <w:r>
        <w:rPr/>
        <w:drawing>
          <wp:inline distL="114300" distT="0" distB="0" distR="114300">
            <wp:extent cx="4660862" cy="6137145"/>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3" cstate="print"/>
                    <a:srcRect l="0" t="0" r="0" b="0"/>
                    <a:stretch/>
                  </pic:blipFill>
                  <pic:spPr>
                    <a:xfrm rot="0">
                      <a:off x="0" y="0"/>
                      <a:ext cx="4660862" cy="6137145"/>
                    </a:xfrm>
                    <a:prstGeom prst="rect"/>
                  </pic:spPr>
                </pic:pic>
              </a:graphicData>
            </a:graphic>
          </wp:inline>
        </w:drawing>
      </w:r>
    </w:p>
    <w:p w14:paraId="036FC50A">
      <w:pPr>
        <w:pStyle w:val="style0"/>
        <w:rPr>
          <w:rFonts w:ascii="Times New Roman" w:cs="Times New Roman" w:hAnsi="Times New Roman"/>
          <w:sz w:val="24"/>
          <w:szCs w:val="24"/>
        </w:rPr>
      </w:pPr>
    </w:p>
    <w:p w14:paraId="004FB9C7">
      <w:pPr>
        <w:pStyle w:val="style0"/>
        <w:rPr>
          <w:rFonts w:ascii="Times New Roman" w:cs="Times New Roman" w:hAnsi="Times New Roman"/>
          <w:sz w:val="24"/>
          <w:szCs w:val="24"/>
        </w:rPr>
      </w:pPr>
    </w:p>
    <w:p w14:paraId="42891705">
      <w:pPr>
        <w:pStyle w:val="style0"/>
        <w:rPr>
          <w:rFonts w:ascii="Times New Roman" w:cs="Times New Roman" w:hAnsi="Times New Roman"/>
          <w:sz w:val="24"/>
          <w:szCs w:val="24"/>
        </w:rPr>
      </w:pPr>
    </w:p>
    <w:p w14:paraId="F3A10ACF">
      <w:pPr>
        <w:pStyle w:val="style0"/>
        <w:rPr>
          <w:rFonts w:ascii="Times New Roman" w:cs="Times New Roman" w:hAnsi="Times New Roman"/>
          <w:sz w:val="24"/>
          <w:szCs w:val="24"/>
        </w:rPr>
      </w:pPr>
    </w:p>
    <w:p w14:paraId="C9F8E4D1">
      <w:pPr>
        <w:pStyle w:val="style0"/>
        <w:rPr>
          <w:rFonts w:ascii="Times New Roman" w:cs="Times New Roman" w:hAnsi="Times New Roman"/>
          <w:sz w:val="24"/>
          <w:szCs w:val="24"/>
        </w:rPr>
      </w:pPr>
    </w:p>
    <w:bookmarkStart w:id="1" w:name="_Toc233678207"/>
    <w:p w14:paraId="61663C40">
      <w:pPr>
        <w:pStyle w:val="style1"/>
        <w:rPr/>
      </w:pPr>
      <w:r>
        <w:t>DEDICATION</w:t>
      </w:r>
      <w:bookmarkEnd w:id="1"/>
    </w:p>
    <w:p w14:paraId="05C2B55A">
      <w:pPr>
        <w:pStyle w:val="style0"/>
        <w:jc w:val="both"/>
        <w:rPr>
          <w:rFonts w:ascii="Times New Roman" w:hAnsi="Times New Roman" w:hint="default"/>
          <w:sz w:val="24"/>
          <w:szCs w:val="24"/>
        </w:rPr>
      </w:pPr>
      <w:r>
        <w:rPr>
          <w:rFonts w:ascii="Times New Roman" w:hAnsi="Times New Roman" w:hint="default"/>
          <w:sz w:val="24"/>
          <w:szCs w:val="24"/>
        </w:rPr>
        <w:t>This work is dedicated with profound gratitude to the almighty God who has seen me through doubts; my parents, who have seen me through five years of study, paying every fee, meeting every expense, and funding the printing and research of this project; their sacrifice, patience and faith made this achievement possible.</w:t>
      </w:r>
    </w:p>
    <w:p w14:paraId="0E647885">
      <w:pPr>
        <w:pStyle w:val="style0"/>
        <w:jc w:val="both"/>
        <w:rPr>
          <w:rFonts w:ascii="Times New Roman" w:hAnsi="Times New Roman" w:hint="default"/>
          <w:sz w:val="24"/>
          <w:szCs w:val="24"/>
        </w:rPr>
      </w:pPr>
      <w:r>
        <w:rPr>
          <w:rFonts w:ascii="Times New Roman" w:hAnsi="Times New Roman" w:hint="default"/>
          <w:sz w:val="24"/>
          <w:szCs w:val="24"/>
        </w:rPr>
        <w:t>To all men and women touched by the longing for parenthood, especially women who face</w:t>
      </w:r>
      <w:r>
        <w:rPr>
          <w:rFonts w:ascii="Times New Roman" w:hAnsi="Times New Roman" w:hint="default"/>
          <w:sz w:val="24"/>
          <w:szCs w:val="24"/>
          <w:lang w:val="en-US"/>
        </w:rPr>
        <w:t xml:space="preserve"> </w:t>
      </w:r>
      <w:r>
        <w:rPr>
          <w:rFonts w:ascii="Times New Roman" w:hAnsi="Times New Roman" w:hint="default"/>
          <w:sz w:val="24"/>
          <w:szCs w:val="24"/>
        </w:rPr>
        <w:t>stigma, exclusion or legal uncertainty because of infertility or non-traditional paths to parenthood, this study, "Parentage Of Children Born Through Surrogacy And Assisted Reproductive Technologies In Nigeria" is for you.</w:t>
      </w:r>
    </w:p>
    <w:p w14:paraId="7ABDFC17">
      <w:pPr>
        <w:pStyle w:val="style0"/>
        <w:jc w:val="both"/>
        <w:rPr>
          <w:rFonts w:ascii="Times New Roman" w:cs="Times New Roman" w:hAnsi="Times New Roman"/>
          <w:sz w:val="24"/>
          <w:szCs w:val="24"/>
        </w:rPr>
      </w:pPr>
      <w:r>
        <w:rPr>
          <w:rFonts w:ascii="Times New Roman" w:hAnsi="Times New Roman" w:hint="default"/>
          <w:sz w:val="24"/>
          <w:szCs w:val="24"/>
        </w:rPr>
        <w:t>May this work honour the sacrifices that brought me here and contribute to greater dignity, legal clarity and protection for children, surrogates and intended parents in Nigeria.</w:t>
      </w:r>
    </w:p>
    <w:p w14:paraId="29A91D94">
      <w:pPr>
        <w:pStyle w:val="style0"/>
        <w:spacing w:lineRule="auto" w:line="360"/>
        <w:jc w:val="both"/>
        <w:rPr>
          <w:rFonts w:ascii="Times New Roman" w:cs="Times New Roman" w:hAnsi="Times New Roman"/>
          <w:sz w:val="24"/>
          <w:szCs w:val="24"/>
        </w:rPr>
      </w:pPr>
    </w:p>
    <w:p w14:paraId="33FA99D9">
      <w:pPr>
        <w:pStyle w:val="style0"/>
        <w:spacing w:lineRule="auto" w:line="360"/>
        <w:jc w:val="both"/>
        <w:rPr>
          <w:rFonts w:ascii="Times New Roman" w:cs="Times New Roman" w:hAnsi="Times New Roman"/>
          <w:sz w:val="24"/>
          <w:szCs w:val="24"/>
        </w:rPr>
      </w:pPr>
    </w:p>
    <w:p w14:paraId="564AC1F4">
      <w:pPr>
        <w:pStyle w:val="style0"/>
        <w:spacing w:lineRule="auto" w:line="360"/>
        <w:jc w:val="both"/>
        <w:rPr>
          <w:rFonts w:ascii="Times New Roman" w:cs="Times New Roman" w:hAnsi="Times New Roman"/>
          <w:sz w:val="24"/>
          <w:szCs w:val="24"/>
        </w:rPr>
      </w:pPr>
    </w:p>
    <w:p w14:paraId="35EBE942">
      <w:pPr>
        <w:pStyle w:val="style0"/>
        <w:spacing w:lineRule="auto" w:line="360"/>
        <w:jc w:val="both"/>
        <w:rPr>
          <w:rFonts w:ascii="Times New Roman" w:cs="Times New Roman" w:hAnsi="Times New Roman"/>
          <w:sz w:val="24"/>
          <w:szCs w:val="24"/>
        </w:rPr>
      </w:pPr>
    </w:p>
    <w:p w14:paraId="2F0F9F69">
      <w:pPr>
        <w:pStyle w:val="style0"/>
        <w:spacing w:lineRule="auto" w:line="360"/>
        <w:jc w:val="both"/>
        <w:rPr>
          <w:rFonts w:ascii="Times New Roman" w:cs="Times New Roman" w:hAnsi="Times New Roman"/>
          <w:sz w:val="24"/>
          <w:szCs w:val="24"/>
        </w:rPr>
      </w:pPr>
    </w:p>
    <w:p w14:paraId="74F9F63C">
      <w:pPr>
        <w:pStyle w:val="style0"/>
        <w:spacing w:lineRule="auto" w:line="360"/>
        <w:jc w:val="both"/>
        <w:rPr>
          <w:rFonts w:ascii="Times New Roman" w:cs="Times New Roman" w:hAnsi="Times New Roman"/>
          <w:sz w:val="24"/>
          <w:szCs w:val="24"/>
        </w:rPr>
      </w:pPr>
    </w:p>
    <w:p w14:paraId="258076F5">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3E62AA16">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5B084E83">
      <w:pPr>
        <w:pStyle w:val="style0"/>
        <w:rPr>
          <w:rFonts w:ascii="Times New Roman" w:cs="Times New Roman" w:hAnsi="Times New Roman"/>
          <w:sz w:val="24"/>
          <w:szCs w:val="24"/>
        </w:rPr>
      </w:pPr>
      <w:r>
        <w:rPr>
          <w:rFonts w:ascii="Times New Roman" w:cs="Times New Roman" w:hAnsi="Times New Roman"/>
          <w:sz w:val="24"/>
          <w:szCs w:val="24"/>
        </w:rPr>
        <w:br w:type="page"/>
      </w:r>
    </w:p>
    <w:bookmarkStart w:id="2" w:name="_Toc233678208"/>
    <w:p w14:paraId="1260022E">
      <w:pPr>
        <w:pStyle w:val="style1"/>
        <w:rPr/>
      </w:pPr>
      <w:r>
        <w:t>ACKNOWLEDGEMENTS</w:t>
      </w:r>
      <w:bookmarkEnd w:id="2"/>
    </w:p>
    <w:p w14:paraId="63C716D1">
      <w:pPr>
        <w:pStyle w:val="style0"/>
        <w:spacing w:lineRule="auto" w:line="360"/>
        <w:jc w:val="both"/>
        <w:rPr>
          <w:rFonts w:ascii="Times New Roman" w:hAnsi="Times New Roman" w:hint="default"/>
          <w:sz w:val="24"/>
          <w:szCs w:val="24"/>
        </w:rPr>
      </w:pPr>
      <w:r>
        <w:rPr>
          <w:rFonts w:ascii="Times New Roman" w:hAnsi="Times New Roman" w:hint="default"/>
          <w:sz w:val="24"/>
          <w:szCs w:val="24"/>
        </w:rPr>
        <w:t>I would like to express my sincere gratitude to God almighty who gave me strength when I felt so overwhelmed. I also sincerely appreciate my supervisor, Mrs Nwakaego Ogbaji, thank you so much for supervising my work with such enthusiasm and dedication.</w:t>
      </w:r>
    </w:p>
    <w:p w14:paraId="42749DEC">
      <w:pPr>
        <w:pStyle w:val="style0"/>
        <w:spacing w:lineRule="auto" w:line="360"/>
        <w:jc w:val="both"/>
        <w:rPr>
          <w:rFonts w:ascii="Times New Roman" w:hAnsi="Times New Roman" w:hint="default"/>
          <w:sz w:val="24"/>
          <w:szCs w:val="24"/>
        </w:rPr>
      </w:pPr>
      <w:r>
        <w:rPr>
          <w:rFonts w:ascii="Times New Roman" w:hAnsi="Times New Roman" w:hint="default"/>
          <w:sz w:val="24"/>
          <w:szCs w:val="24"/>
        </w:rPr>
        <w:t>To my lecturers, Prof. Okere, Prof. Asogwa, Prof. Aneke, Dr. Okika, Prof. Iloh, Dr. Victor Munachi, Dr. Omeh, Assoc.Prof Ajigbo, Late, Fr. Somadinna (to mention a few); I'm forever grateful for time spent under your teaching and hope to make you all proud.</w:t>
      </w:r>
    </w:p>
    <w:p w14:paraId="0681A298">
      <w:pPr>
        <w:pStyle w:val="style0"/>
        <w:spacing w:lineRule="auto" w:line="360"/>
        <w:jc w:val="both"/>
        <w:rPr>
          <w:rFonts w:ascii="Times New Roman" w:hAnsi="Times New Roman" w:hint="default"/>
          <w:sz w:val="24"/>
          <w:szCs w:val="24"/>
        </w:rPr>
      </w:pPr>
      <w:r>
        <w:rPr>
          <w:rFonts w:ascii="Times New Roman" w:hAnsi="Times New Roman" w:hint="default"/>
          <w:sz w:val="24"/>
          <w:szCs w:val="24"/>
        </w:rPr>
        <w:t>To my friends (Bembe, Vera, Sister Vivian, Grateful, Chiamaka, Kosi, Excel and many others) and to my roommates (Uchechi, Hannah, Ngozi, Jane, Miracle), thank you for your encouragement, late-night conversations and steadfast companionship.</w:t>
      </w:r>
    </w:p>
    <w:p w14:paraId="6D43D6B5">
      <w:pPr>
        <w:pStyle w:val="style0"/>
        <w:spacing w:lineRule="auto" w:line="360"/>
        <w:jc w:val="both"/>
        <w:rPr>
          <w:rFonts w:ascii="Times New Roman" w:cs="Times New Roman" w:hAnsi="Times New Roman"/>
          <w:sz w:val="24"/>
          <w:szCs w:val="24"/>
        </w:rPr>
      </w:pPr>
      <w:r>
        <w:rPr>
          <w:rFonts w:ascii="Times New Roman" w:hAnsi="Times New Roman" w:hint="default"/>
          <w:sz w:val="24"/>
          <w:szCs w:val="24"/>
        </w:rPr>
        <w:t>My most heartfelt thanks go to my lovely, wonderful and most supporting parents, Dr. and Barr. Mrs. Ogbonna for always supporting me and encouraging me even when I was at my lowest. To my Mom, Barr. Blessing Ogbonna, thank you for your patience in teaching me how to draft brief needed for mooting sessions.</w:t>
      </w:r>
    </w:p>
    <w:p w14:paraId="0BB0032D">
      <w:pPr>
        <w:pStyle w:val="style0"/>
        <w:spacing w:lineRule="auto" w:line="360"/>
        <w:jc w:val="both"/>
        <w:rPr>
          <w:rFonts w:ascii="Times New Roman" w:cs="Times New Roman" w:hAnsi="Times New Roman"/>
          <w:sz w:val="24"/>
          <w:szCs w:val="24"/>
        </w:rPr>
      </w:pPr>
    </w:p>
    <w:p w14:paraId="2D3BC951">
      <w:pPr>
        <w:pStyle w:val="style0"/>
        <w:spacing w:lineRule="auto" w:line="360"/>
        <w:jc w:val="both"/>
        <w:rPr>
          <w:rFonts w:ascii="Times New Roman" w:cs="Times New Roman" w:hAnsi="Times New Roman"/>
          <w:sz w:val="24"/>
          <w:szCs w:val="24"/>
        </w:rPr>
      </w:pPr>
    </w:p>
    <w:p w14:paraId="2C8CB5A4">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73412052">
      <w:pPr>
        <w:pStyle w:val="style0"/>
        <w:rPr>
          <w:rFonts w:ascii="Times New Roman" w:cs="Times New Roman" w:hAnsi="Times New Roman"/>
          <w:sz w:val="24"/>
          <w:szCs w:val="24"/>
        </w:rPr>
      </w:pPr>
      <w:r>
        <w:rPr>
          <w:rFonts w:ascii="Times New Roman" w:cs="Times New Roman" w:hAnsi="Times New Roman"/>
          <w:sz w:val="24"/>
          <w:szCs w:val="24"/>
        </w:rPr>
        <w:br w:type="page"/>
      </w:r>
      <w:bookmarkStart w:id="3" w:name="_GoBack"/>
      <w:bookmarkEnd w:id="3"/>
    </w:p>
    <w:bookmarkStart w:id="4" w:name="_Toc233678209"/>
    <w:p w14:paraId="7E8523B5">
      <w:pPr>
        <w:pStyle w:val="style1"/>
        <w:rPr/>
      </w:pPr>
      <w:r>
        <w:t>TABLE OF CONTENT</w:t>
      </w:r>
      <w:bookmarkEnd w:id="4"/>
    </w:p>
    <w:p w14:paraId="3EE6987D">
      <w:pPr>
        <w:pStyle w:val="style4102"/>
        <w:rPr>
          <w:rFonts w:ascii="Times New Roman" w:cs="Times New Roman" w:hAnsi="Times New Roman"/>
        </w:rPr>
      </w:pPr>
    </w:p>
    <w:p w14:paraId="7167841B">
      <w:pPr>
        <w:pStyle w:val="style19"/>
        <w:tabs>
          <w:tab w:val="right" w:leader="dot" w:pos="9017"/>
        </w:tabs>
        <w:rPr>
          <w:rFonts w:ascii="Times New Roman" w:cs="Times New Roman" w:eastAsia="等线" w:hAnsi="Times New Roman"/>
          <w:lang w:val="en-US"/>
        </w:rPr>
      </w:pPr>
      <w:r>
        <w:rPr>
          <w:rFonts w:ascii="Times New Roman" w:cs="Times New Roman" w:hAnsi="Times New Roman"/>
        </w:rPr>
        <w:fldChar w:fldCharType="begin"/>
      </w:r>
      <w:r>
        <w:rPr>
          <w:rFonts w:ascii="Times New Roman" w:cs="Times New Roman" w:hAnsi="Times New Roman"/>
        </w:rPr>
        <w:instrText xml:space="preserve"> TOC \o "1-3" \h \z \u </w:instrText>
      </w:r>
      <w:r>
        <w:rPr>
          <w:rFonts w:ascii="Times New Roman" w:cs="Times New Roman" w:hAnsi="Times New Roman"/>
        </w:rPr>
        <w:fldChar w:fldCharType="separate"/>
      </w:r>
      <w:r>
        <w:rPr/>
        <w:fldChar w:fldCharType="begin"/>
      </w:r>
      <w:r>
        <w:instrText xml:space="preserve"> HYPERLINK \l "_Toc233678204" </w:instrText>
      </w:r>
      <w:r>
        <w:rPr/>
        <w:fldChar w:fldCharType="separate"/>
      </w:r>
      <w:r>
        <w:rPr>
          <w:rStyle w:val="style85"/>
          <w:rFonts w:ascii="Times New Roman" w:cs="Times New Roman" w:hAnsi="Times New Roman"/>
        </w:rPr>
        <w:t>TITLE PAGE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_Toc233678204 \h </w:instrText>
      </w:r>
      <w:r>
        <w:rPr>
          <w:rFonts w:ascii="Times New Roman" w:cs="Times New Roman" w:hAnsi="Times New Roman"/>
        </w:rPr>
        <w:fldChar w:fldCharType="separate"/>
      </w:r>
      <w:r>
        <w:rPr>
          <w:rFonts w:ascii="Times New Roman" w:cs="Times New Roman" w:hAnsi="Times New Roman"/>
        </w:rPr>
        <w:t>i</w:t>
      </w:r>
      <w:r>
        <w:rPr>
          <w:rFonts w:ascii="Times New Roman" w:cs="Times New Roman" w:hAnsi="Times New Roman"/>
        </w:rPr>
        <w:fldChar w:fldCharType="end"/>
      </w:r>
      <w:r>
        <w:rPr>
          <w:rFonts w:ascii="Times New Roman" w:cs="Times New Roman" w:hAnsi="Times New Roman"/>
        </w:rPr>
        <w:fldChar w:fldCharType="end"/>
      </w:r>
    </w:p>
    <w:p w14:paraId="3CF91E50">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"_Toc233678205" </w:instrText>
      </w:r>
      <w:r>
        <w:rPr/>
        <w:fldChar w:fldCharType="separate"/>
      </w:r>
      <w:r>
        <w:rPr>
          <w:rStyle w:val="style85"/>
          <w:rFonts w:ascii="Times New Roman" w:cs="Times New Roman" w:hAnsi="Times New Roman"/>
        </w:rPr>
        <w:t>DECLARATION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_Toc233678205 \h </w:instrText>
      </w:r>
      <w:r>
        <w:rPr>
          <w:rFonts w:ascii="Times New Roman" w:cs="Times New Roman" w:hAnsi="Times New Roman"/>
        </w:rPr>
        <w:fldChar w:fldCharType="separate"/>
      </w:r>
      <w:r>
        <w:rPr>
          <w:rFonts w:ascii="Times New Roman" w:cs="Times New Roman" w:hAnsi="Times New Roman"/>
        </w:rPr>
        <w:t>ii</w:t>
      </w:r>
      <w:r>
        <w:rPr>
          <w:rFonts w:ascii="Times New Roman" w:cs="Times New Roman" w:hAnsi="Times New Roman"/>
        </w:rPr>
        <w:fldChar w:fldCharType="end"/>
      </w:r>
      <w:r>
        <w:rPr>
          <w:rFonts w:ascii="Times New Roman" w:cs="Times New Roman" w:hAnsi="Times New Roman"/>
        </w:rPr>
        <w:fldChar w:fldCharType="end"/>
      </w:r>
    </w:p>
    <w:p w14:paraId="2D744E90">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"_Toc233678206" </w:instrText>
      </w:r>
      <w:r>
        <w:rPr/>
        <w:fldChar w:fldCharType="separate"/>
      </w:r>
      <w:r>
        <w:rPr>
          <w:rStyle w:val="style85"/>
          <w:rFonts w:ascii="Times New Roman" w:cs="Times New Roman" w:hAnsi="Times New Roman"/>
        </w:rPr>
        <w:t>APPROVAL PAGE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_Toc233678206 \h </w:instrText>
      </w:r>
      <w:r>
        <w:rPr>
          <w:rFonts w:ascii="Times New Roman" w:cs="Times New Roman" w:hAnsi="Times New Roman"/>
        </w:rPr>
        <w:fldChar w:fldCharType="separate"/>
      </w:r>
      <w:r>
        <w:rPr>
          <w:rFonts w:ascii="Times New Roman" w:cs="Times New Roman" w:hAnsi="Times New Roman"/>
        </w:rPr>
        <w:t>iii</w:t>
      </w:r>
      <w:r>
        <w:rPr>
          <w:rFonts w:ascii="Times New Roman" w:cs="Times New Roman" w:hAnsi="Times New Roman"/>
        </w:rPr>
        <w:fldChar w:fldCharType="end"/>
      </w:r>
      <w:r>
        <w:rPr>
          <w:rFonts w:ascii="Times New Roman" w:cs="Times New Roman" w:hAnsi="Times New Roman"/>
        </w:rPr>
        <w:fldChar w:fldCharType="end"/>
      </w:r>
    </w:p>
    <w:p w14:paraId="6068D662">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"_Toc233678207" </w:instrText>
      </w:r>
      <w:r>
        <w:rPr/>
        <w:fldChar w:fldCharType="separate"/>
      </w:r>
      <w:r>
        <w:rPr>
          <w:rStyle w:val="style85"/>
          <w:rFonts w:ascii="Times New Roman" w:cs="Times New Roman" w:hAnsi="Times New Roman"/>
        </w:rPr>
        <w:t>DEDICATION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_Toc233678207 \h </w:instrText>
      </w:r>
      <w:r>
        <w:rPr>
          <w:rFonts w:ascii="Times New Roman" w:cs="Times New Roman" w:hAnsi="Times New Roman"/>
        </w:rPr>
        <w:fldChar w:fldCharType="separate"/>
      </w:r>
      <w:r>
        <w:rPr>
          <w:rFonts w:ascii="Times New Roman" w:cs="Times New Roman" w:hAnsi="Times New Roman"/>
        </w:rPr>
        <w:t>iv</w:t>
      </w:r>
      <w:r>
        <w:rPr>
          <w:rFonts w:ascii="Times New Roman" w:cs="Times New Roman" w:hAnsi="Times New Roman"/>
        </w:rPr>
        <w:fldChar w:fldCharType="end"/>
      </w:r>
      <w:r>
        <w:rPr>
          <w:rFonts w:ascii="Times New Roman" w:cs="Times New Roman" w:hAnsi="Times New Roman"/>
        </w:rPr>
        <w:fldChar w:fldCharType="end"/>
      </w:r>
    </w:p>
    <w:p w14:paraId="4B014383">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"_Toc233678208" </w:instrText>
      </w:r>
      <w:r>
        <w:rPr/>
        <w:fldChar w:fldCharType="separate"/>
      </w:r>
      <w:r>
        <w:rPr>
          <w:rStyle w:val="style85"/>
          <w:rFonts w:ascii="Times New Roman" w:cs="Times New Roman" w:hAnsi="Times New Roman"/>
        </w:rPr>
        <w:t>ACKNOWLEDGEMENTS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_Toc233678208 \h </w:instrText>
      </w:r>
      <w:r>
        <w:rPr>
          <w:rFonts w:ascii="Times New Roman" w:cs="Times New Roman" w:hAnsi="Times New Roman"/>
        </w:rPr>
        <w:fldChar w:fldCharType="separate"/>
      </w:r>
      <w:r>
        <w:rPr>
          <w:rFonts w:ascii="Times New Roman" w:cs="Times New Roman" w:hAnsi="Times New Roman"/>
        </w:rPr>
        <w:t>v</w:t>
      </w:r>
      <w:r>
        <w:rPr>
          <w:rFonts w:ascii="Times New Roman" w:cs="Times New Roman" w:hAnsi="Times New Roman"/>
        </w:rPr>
        <w:fldChar w:fldCharType="end"/>
      </w:r>
      <w:r>
        <w:rPr>
          <w:rFonts w:ascii="Times New Roman" w:cs="Times New Roman" w:hAnsi="Times New Roman"/>
        </w:rPr>
        <w:fldChar w:fldCharType="end"/>
      </w:r>
    </w:p>
    <w:p w14:paraId="6B6F93F5">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"_Toc233678209" </w:instrText>
      </w:r>
      <w:r>
        <w:rPr/>
        <w:fldChar w:fldCharType="separate"/>
      </w:r>
      <w:r>
        <w:rPr>
          <w:rStyle w:val="style85"/>
          <w:rFonts w:ascii="Times New Roman" w:cs="Times New Roman" w:hAnsi="Times New Roman"/>
        </w:rPr>
        <w:t>TABLE OF CONTENT</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_Toc233678209 \h </w:instrText>
      </w:r>
      <w:r>
        <w:rPr>
          <w:rFonts w:ascii="Times New Roman" w:cs="Times New Roman" w:hAnsi="Times New Roman"/>
        </w:rPr>
        <w:fldChar w:fldCharType="separate"/>
      </w:r>
      <w:r>
        <w:rPr>
          <w:rFonts w:ascii="Times New Roman" w:cs="Times New Roman" w:hAnsi="Times New Roman"/>
        </w:rPr>
        <w:t>vi</w:t>
      </w:r>
      <w:r>
        <w:rPr>
          <w:rFonts w:ascii="Times New Roman" w:cs="Times New Roman" w:hAnsi="Times New Roman"/>
        </w:rPr>
        <w:fldChar w:fldCharType="end"/>
      </w:r>
      <w:r>
        <w:rPr>
          <w:rFonts w:ascii="Times New Roman" w:cs="Times New Roman" w:hAnsi="Times New Roman"/>
        </w:rPr>
        <w:fldChar w:fldCharType="end"/>
      </w:r>
    </w:p>
    <w:p w14:paraId="17FD34AC">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"_Toc233678210" </w:instrText>
      </w:r>
      <w:r>
        <w:rPr/>
        <w:fldChar w:fldCharType="separate"/>
      </w:r>
      <w:r>
        <w:rPr>
          <w:rStyle w:val="style85"/>
          <w:rFonts w:ascii="Times New Roman" w:cs="Times New Roman" w:hAnsi="Times New Roman"/>
        </w:rPr>
        <w:t>LIST OF CASES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_Toc233678210 \h </w:instrText>
      </w:r>
      <w:r>
        <w:rPr>
          <w:rFonts w:ascii="Times New Roman" w:cs="Times New Roman" w:hAnsi="Times New Roman"/>
        </w:rPr>
        <w:fldChar w:fldCharType="separate"/>
      </w:r>
      <w:r>
        <w:rPr>
          <w:rFonts w:ascii="Times New Roman" w:cs="Times New Roman" w:hAnsi="Times New Roman"/>
        </w:rPr>
        <w:t>x</w:t>
      </w:r>
      <w:r>
        <w:rPr>
          <w:rFonts w:ascii="Times New Roman" w:cs="Times New Roman" w:hAnsi="Times New Roman"/>
        </w:rPr>
        <w:fldChar w:fldCharType="end"/>
      </w:r>
      <w:r>
        <w:rPr>
          <w:rFonts w:ascii="Times New Roman" w:cs="Times New Roman" w:hAnsi="Times New Roman"/>
        </w:rPr>
        <w:fldChar w:fldCharType="end"/>
      </w:r>
    </w:p>
    <w:p w14:paraId="3CEEDFCE">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"_Toc233678211" </w:instrText>
      </w:r>
      <w:r>
        <w:rPr/>
        <w:fldChar w:fldCharType="separate"/>
      </w:r>
      <w:r>
        <w:rPr>
          <w:rStyle w:val="style85"/>
          <w:rFonts w:ascii="Times New Roman" w:cs="Times New Roman" w:hAnsi="Times New Roman"/>
        </w:rPr>
        <w:t>LIST OF STATUTES, TREATIES AND OTHER INTERNATIONAL INSTRUMENTS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_Toc233678211 \h </w:instrText>
      </w:r>
      <w:r>
        <w:rPr>
          <w:rFonts w:ascii="Times New Roman" w:cs="Times New Roman" w:hAnsi="Times New Roman"/>
        </w:rPr>
        <w:fldChar w:fldCharType="separate"/>
      </w:r>
      <w:r>
        <w:rPr>
          <w:rFonts w:ascii="Times New Roman" w:cs="Times New Roman" w:hAnsi="Times New Roman"/>
        </w:rPr>
        <w:t>xi</w:t>
      </w:r>
      <w:r>
        <w:rPr>
          <w:rFonts w:ascii="Times New Roman" w:cs="Times New Roman" w:hAnsi="Times New Roman"/>
        </w:rPr>
        <w:fldChar w:fldCharType="end"/>
      </w:r>
      <w:r>
        <w:rPr>
          <w:rFonts w:ascii="Times New Roman" w:cs="Times New Roman" w:hAnsi="Times New Roman"/>
        </w:rPr>
        <w:fldChar w:fldCharType="end"/>
      </w:r>
    </w:p>
    <w:p w14:paraId="660B6A37">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"_Toc233678212" </w:instrText>
      </w:r>
      <w:r>
        <w:rPr/>
        <w:fldChar w:fldCharType="separate"/>
      </w:r>
      <w:r>
        <w:rPr>
          <w:rStyle w:val="style85"/>
          <w:rFonts w:ascii="Times New Roman" w:cs="Times New Roman" w:hAnsi="Times New Roman"/>
        </w:rPr>
        <w:t>LIST OF ABBREVIATIONS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_Toc233678212 \h </w:instrText>
      </w:r>
      <w:r>
        <w:rPr>
          <w:rFonts w:ascii="Times New Roman" w:cs="Times New Roman" w:hAnsi="Times New Roman"/>
        </w:rPr>
        <w:fldChar w:fldCharType="separate"/>
      </w:r>
      <w:r>
        <w:rPr>
          <w:rFonts w:ascii="Times New Roman" w:cs="Times New Roman" w:hAnsi="Times New Roman"/>
        </w:rPr>
        <w:t>xii</w:t>
      </w:r>
      <w:r>
        <w:rPr>
          <w:rFonts w:ascii="Times New Roman" w:cs="Times New Roman" w:hAnsi="Times New Roman"/>
        </w:rPr>
        <w:fldChar w:fldCharType="end"/>
      </w:r>
      <w:r>
        <w:rPr>
          <w:rFonts w:ascii="Times New Roman" w:cs="Times New Roman" w:hAnsi="Times New Roman"/>
        </w:rPr>
        <w:fldChar w:fldCharType="end"/>
      </w:r>
    </w:p>
    <w:p w14:paraId="33BB6744">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"_Toc233678213" </w:instrText>
      </w:r>
      <w:r>
        <w:rPr/>
        <w:fldChar w:fldCharType="separate"/>
      </w:r>
      <w:r>
        <w:rPr>
          <w:rStyle w:val="style85"/>
          <w:rFonts w:ascii="Times New Roman" w:cs="Times New Roman" w:hAnsi="Times New Roman"/>
        </w:rPr>
        <w:t>ABSTRACT</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_Toc233678213 \h </w:instrText>
      </w:r>
      <w:r>
        <w:rPr>
          <w:rFonts w:ascii="Times New Roman" w:cs="Times New Roman" w:hAnsi="Times New Roman"/>
        </w:rPr>
        <w:fldChar w:fldCharType="separate"/>
      </w:r>
      <w:r>
        <w:rPr>
          <w:rFonts w:ascii="Times New Roman" w:cs="Times New Roman" w:hAnsi="Times New Roman"/>
        </w:rPr>
        <w:t>xiv</w:t>
      </w:r>
      <w:r>
        <w:rPr>
          <w:rFonts w:ascii="Times New Roman" w:cs="Times New Roman" w:hAnsi="Times New Roman"/>
        </w:rPr>
        <w:fldChar w:fldCharType="end"/>
      </w:r>
      <w:r>
        <w:rPr>
          <w:rFonts w:ascii="Times New Roman" w:cs="Times New Roman" w:hAnsi="Times New Roman"/>
        </w:rPr>
        <w:fldChar w:fldCharType="end"/>
      </w:r>
    </w:p>
    <w:p w14:paraId="05070E89">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"_Toc233678214" </w:instrText>
      </w:r>
      <w:r>
        <w:rPr/>
        <w:fldChar w:fldCharType="separate"/>
      </w:r>
      <w:r>
        <w:rPr>
          <w:rStyle w:val="style85"/>
          <w:rFonts w:ascii="Times New Roman" w:cs="Times New Roman" w:hAnsi="Times New Roman"/>
        </w:rPr>
        <w:t>CHAPTER ONE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_Toc233678214 \h </w:instrText>
      </w:r>
      <w:r>
        <w:rPr>
          <w:rFonts w:ascii="Times New Roman" w:cs="Times New Roman" w:hAnsi="Times New Roman"/>
        </w:rPr>
        <w:fldChar w:fldCharType="separate"/>
      </w:r>
      <w:r>
        <w:rPr>
          <w:rFonts w:ascii="Times New Roman" w:cs="Times New Roman" w:hAnsi="Times New Roman"/>
        </w:rPr>
        <w:t>1</w:t>
      </w:r>
      <w:r>
        <w:rPr>
          <w:rFonts w:ascii="Times New Roman" w:cs="Times New Roman" w:hAnsi="Times New Roman"/>
        </w:rPr>
        <w:fldChar w:fldCharType="end"/>
      </w:r>
      <w:r>
        <w:rPr>
          <w:rFonts w:ascii="Times New Roman" w:cs="Times New Roman" w:hAnsi="Times New Roman"/>
        </w:rPr>
        <w:fldChar w:fldCharType="end"/>
      </w:r>
    </w:p>
    <w:p w14:paraId="1D1BCFAF">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"_Toc233678215" </w:instrText>
      </w:r>
      <w:r>
        <w:rPr/>
        <w:fldChar w:fldCharType="separate"/>
      </w:r>
      <w:r>
        <w:rPr>
          <w:rStyle w:val="style85"/>
          <w:rFonts w:ascii="Times New Roman" w:cs="Times New Roman" w:hAnsi="Times New Roman"/>
        </w:rPr>
        <w:t>INTRODUCTION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_Toc233678215 \h </w:instrText>
      </w:r>
      <w:r>
        <w:rPr>
          <w:rFonts w:ascii="Times New Roman" w:cs="Times New Roman" w:hAnsi="Times New Roman"/>
        </w:rPr>
        <w:fldChar w:fldCharType="separate"/>
      </w:r>
      <w:r>
        <w:rPr>
          <w:rFonts w:ascii="Times New Roman" w:cs="Times New Roman" w:hAnsi="Times New Roman"/>
        </w:rPr>
        <w:t>1</w:t>
      </w:r>
      <w:r>
        <w:rPr>
          <w:rFonts w:ascii="Times New Roman" w:cs="Times New Roman" w:hAnsi="Times New Roman"/>
        </w:rPr>
        <w:fldChar w:fldCharType="end"/>
      </w:r>
      <w:r>
        <w:rPr>
          <w:rFonts w:ascii="Times New Roman" w:cs="Times New Roman" w:hAnsi="Times New Roman"/>
        </w:rPr>
        <w:fldChar w:fldCharType="end"/>
      </w:r>
    </w:p>
    <w:p w14:paraId="6286EAD9">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"_Toc233678216" </w:instrText>
      </w:r>
      <w:r>
        <w:rPr/>
        <w:fldChar w:fldCharType="separate"/>
      </w:r>
      <w:r>
        <w:rPr>
          <w:rStyle w:val="style85"/>
          <w:rFonts w:ascii="Times New Roman" w:cs="Times New Roman" w:hAnsi="Times New Roman"/>
        </w:rPr>
        <w:t xml:space="preserve">1.1 </w:t>
      </w:r>
      <w:r>
        <w:rPr>
          <w:rFonts w:ascii="Times New Roman" w:cs="Times New Roman" w:eastAsia="等线" w:hAnsi="Times New Roman"/>
          <w:lang w:val="en-US"/>
        </w:rPr>
        <w:tab/>
      </w:r>
      <w:r>
        <w:rPr>
          <w:rStyle w:val="style85"/>
          <w:rFonts w:ascii="Times New Roman" w:cs="Times New Roman" w:hAnsi="Times New Roman"/>
        </w:rPr>
        <w:t>Background to the Study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_Toc233678216 \h </w:instrText>
      </w:r>
      <w:r>
        <w:rPr>
          <w:rFonts w:ascii="Times New Roman" w:cs="Times New Roman" w:hAnsi="Times New Roman"/>
        </w:rPr>
        <w:fldChar w:fldCharType="separate"/>
      </w:r>
      <w:r>
        <w:rPr>
          <w:rFonts w:ascii="Times New Roman" w:cs="Times New Roman" w:hAnsi="Times New Roman"/>
        </w:rPr>
        <w:t>1</w:t>
      </w:r>
      <w:r>
        <w:rPr>
          <w:rFonts w:ascii="Times New Roman" w:cs="Times New Roman" w:hAnsi="Times New Roman"/>
        </w:rPr>
        <w:fldChar w:fldCharType="end"/>
      </w:r>
      <w:r>
        <w:rPr>
          <w:rFonts w:ascii="Times New Roman" w:cs="Times New Roman" w:hAnsi="Times New Roman"/>
        </w:rPr>
        <w:fldChar w:fldCharType="end"/>
      </w:r>
    </w:p>
    <w:p w14:paraId="46891281">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"_Toc233678217" </w:instrText>
      </w:r>
      <w:r>
        <w:rPr/>
        <w:fldChar w:fldCharType="separate"/>
      </w:r>
      <w:r>
        <w:rPr>
          <w:rStyle w:val="style85"/>
          <w:rFonts w:ascii="Times New Roman" w:cs="Times New Roman" w:hAnsi="Times New Roman"/>
        </w:rPr>
        <w:t xml:space="preserve">1.2 </w:t>
      </w:r>
      <w:r>
        <w:rPr>
          <w:rFonts w:ascii="Times New Roman" w:cs="Times New Roman" w:eastAsia="等线" w:hAnsi="Times New Roman"/>
          <w:lang w:val="en-US"/>
        </w:rPr>
        <w:tab/>
      </w:r>
      <w:r>
        <w:rPr>
          <w:rStyle w:val="style85"/>
          <w:rFonts w:ascii="Times New Roman" w:cs="Times New Roman" w:hAnsi="Times New Roman"/>
        </w:rPr>
        <w:t>Statement of the Problem</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_Toc233678217 \h </w:instrText>
      </w:r>
      <w:r>
        <w:rPr>
          <w:rFonts w:ascii="Times New Roman" w:cs="Times New Roman" w:hAnsi="Times New Roman"/>
        </w:rPr>
        <w:fldChar w:fldCharType="separate"/>
      </w:r>
      <w:r>
        <w:rPr>
          <w:rFonts w:ascii="Times New Roman" w:cs="Times New Roman" w:hAnsi="Times New Roman"/>
        </w:rPr>
        <w:t>3</w:t>
      </w:r>
      <w:r>
        <w:rPr>
          <w:rFonts w:ascii="Times New Roman" w:cs="Times New Roman" w:hAnsi="Times New Roman"/>
        </w:rPr>
        <w:fldChar w:fldCharType="end"/>
      </w:r>
      <w:r>
        <w:rPr>
          <w:rFonts w:ascii="Times New Roman" w:cs="Times New Roman" w:hAnsi="Times New Roman"/>
        </w:rPr>
        <w:fldChar w:fldCharType="end"/>
      </w:r>
    </w:p>
    <w:p w14:paraId="37FA87D4">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"_Toc233678218" </w:instrText>
      </w:r>
      <w:r>
        <w:rPr/>
        <w:fldChar w:fldCharType="separate"/>
      </w:r>
      <w:r>
        <w:rPr>
          <w:rStyle w:val="style85"/>
          <w:rFonts w:ascii="Times New Roman" w:cs="Times New Roman" w:hAnsi="Times New Roman"/>
        </w:rPr>
        <w:t xml:space="preserve">1.3 </w:t>
      </w:r>
      <w:r>
        <w:rPr>
          <w:rFonts w:ascii="Times New Roman" w:cs="Times New Roman" w:eastAsia="等线" w:hAnsi="Times New Roman"/>
          <w:lang w:val="en-US"/>
        </w:rPr>
        <w:tab/>
      </w:r>
      <w:r>
        <w:rPr>
          <w:rStyle w:val="style85"/>
          <w:rFonts w:ascii="Times New Roman" w:cs="Times New Roman" w:hAnsi="Times New Roman"/>
        </w:rPr>
        <w:t>Research Questions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_Toc233678218 \h </w:instrText>
      </w:r>
      <w:r>
        <w:rPr>
          <w:rFonts w:ascii="Times New Roman" w:cs="Times New Roman" w:hAnsi="Times New Roman"/>
        </w:rPr>
        <w:fldChar w:fldCharType="separate"/>
      </w:r>
      <w:r>
        <w:rPr>
          <w:rFonts w:ascii="Times New Roman" w:cs="Times New Roman" w:hAnsi="Times New Roman"/>
        </w:rPr>
        <w:t>7</w:t>
      </w:r>
      <w:r>
        <w:rPr>
          <w:rFonts w:ascii="Times New Roman" w:cs="Times New Roman" w:hAnsi="Times New Roman"/>
        </w:rPr>
        <w:fldChar w:fldCharType="end"/>
      </w:r>
      <w:r>
        <w:rPr>
          <w:rFonts w:ascii="Times New Roman" w:cs="Times New Roman" w:hAnsi="Times New Roman"/>
        </w:rPr>
        <w:fldChar w:fldCharType="end"/>
      </w:r>
    </w:p>
    <w:p w14:paraId="45C9FFC0">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"_Toc233678219" </w:instrText>
      </w:r>
      <w:r>
        <w:rPr/>
        <w:fldChar w:fldCharType="separate"/>
      </w:r>
      <w:r>
        <w:rPr>
          <w:rStyle w:val="style85"/>
          <w:rFonts w:ascii="Times New Roman" w:cs="Times New Roman" w:hAnsi="Times New Roman"/>
        </w:rPr>
        <w:t xml:space="preserve">1.4 </w:t>
      </w:r>
      <w:r>
        <w:rPr>
          <w:rFonts w:ascii="Times New Roman" w:cs="Times New Roman" w:eastAsia="等线" w:hAnsi="Times New Roman"/>
          <w:lang w:val="en-US"/>
        </w:rPr>
        <w:tab/>
      </w:r>
      <w:r>
        <w:rPr>
          <w:rStyle w:val="style85"/>
          <w:rFonts w:ascii="Times New Roman" w:cs="Times New Roman" w:hAnsi="Times New Roman"/>
        </w:rPr>
        <w:t>Aim and Objectives of the Research</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_Toc233678219 \h </w:instrText>
      </w:r>
      <w:r>
        <w:rPr>
          <w:rFonts w:ascii="Times New Roman" w:cs="Times New Roman" w:hAnsi="Times New Roman"/>
        </w:rPr>
        <w:fldChar w:fldCharType="separate"/>
      </w:r>
      <w:r>
        <w:rPr>
          <w:rFonts w:ascii="Times New Roman" w:cs="Times New Roman" w:hAnsi="Times New Roman"/>
        </w:rPr>
        <w:t>8</w:t>
      </w:r>
      <w:r>
        <w:rPr>
          <w:rFonts w:ascii="Times New Roman" w:cs="Times New Roman" w:hAnsi="Times New Roman"/>
        </w:rPr>
        <w:fldChar w:fldCharType="end"/>
      </w:r>
      <w:r>
        <w:rPr>
          <w:rFonts w:ascii="Times New Roman" w:cs="Times New Roman" w:hAnsi="Times New Roman"/>
        </w:rPr>
        <w:fldChar w:fldCharType="end"/>
      </w:r>
    </w:p>
    <w:p w14:paraId="64191FCC">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"_Toc233678220" </w:instrText>
      </w:r>
      <w:r>
        <w:rPr/>
        <w:fldChar w:fldCharType="separate"/>
      </w:r>
      <w:r>
        <w:rPr>
          <w:rStyle w:val="style85"/>
          <w:rFonts w:ascii="Times New Roman" w:cs="Times New Roman" w:hAnsi="Times New Roman"/>
        </w:rPr>
        <w:t xml:space="preserve">1.5 </w:t>
      </w:r>
      <w:r>
        <w:rPr>
          <w:rFonts w:ascii="Times New Roman" w:cs="Times New Roman" w:eastAsia="等线" w:hAnsi="Times New Roman"/>
          <w:lang w:val="en-US"/>
        </w:rPr>
        <w:tab/>
      </w:r>
      <w:r>
        <w:rPr>
          <w:rStyle w:val="style85"/>
          <w:rFonts w:ascii="Times New Roman" w:cs="Times New Roman" w:hAnsi="Times New Roman"/>
        </w:rPr>
        <w:t>Research Methodology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_Toc233678220 \h </w:instrText>
      </w:r>
      <w:r>
        <w:rPr>
          <w:rFonts w:ascii="Times New Roman" w:cs="Times New Roman" w:hAnsi="Times New Roman"/>
        </w:rPr>
        <w:fldChar w:fldCharType="separate"/>
      </w:r>
      <w:r>
        <w:rPr>
          <w:rFonts w:ascii="Times New Roman" w:cs="Times New Roman" w:hAnsi="Times New Roman"/>
        </w:rPr>
        <w:t>8</w:t>
      </w:r>
      <w:r>
        <w:rPr>
          <w:rFonts w:ascii="Times New Roman" w:cs="Times New Roman" w:hAnsi="Times New Roman"/>
        </w:rPr>
        <w:fldChar w:fldCharType="end"/>
      </w:r>
      <w:r>
        <w:rPr>
          <w:rFonts w:ascii="Times New Roman" w:cs="Times New Roman" w:hAnsi="Times New Roman"/>
        </w:rPr>
        <w:fldChar w:fldCharType="end"/>
      </w:r>
    </w:p>
    <w:p w14:paraId="37B9A4D1">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"_Toc233678221" </w:instrText>
      </w:r>
      <w:r>
        <w:rPr/>
        <w:fldChar w:fldCharType="separate"/>
      </w:r>
      <w:r>
        <w:rPr>
          <w:rStyle w:val="style85"/>
          <w:rFonts w:ascii="Times New Roman" w:cs="Times New Roman" w:hAnsi="Times New Roman"/>
        </w:rPr>
        <w:t xml:space="preserve">1.6 </w:t>
      </w:r>
      <w:r>
        <w:rPr>
          <w:rFonts w:ascii="Times New Roman" w:cs="Times New Roman" w:eastAsia="等线" w:hAnsi="Times New Roman"/>
          <w:lang w:val="en-US"/>
        </w:rPr>
        <w:tab/>
      </w:r>
      <w:r>
        <w:rPr>
          <w:rStyle w:val="style85"/>
          <w:rFonts w:ascii="Times New Roman" w:cs="Times New Roman" w:hAnsi="Times New Roman"/>
        </w:rPr>
        <w:t>Scope and Limitation of the Study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_Toc233678221 \h </w:instrText>
      </w:r>
      <w:r>
        <w:rPr>
          <w:rFonts w:ascii="Times New Roman" w:cs="Times New Roman" w:hAnsi="Times New Roman"/>
        </w:rPr>
        <w:fldChar w:fldCharType="separate"/>
      </w:r>
      <w:r>
        <w:rPr>
          <w:rFonts w:ascii="Times New Roman" w:cs="Times New Roman" w:hAnsi="Times New Roman"/>
        </w:rPr>
        <w:t>10</w:t>
      </w:r>
      <w:r>
        <w:rPr>
          <w:rFonts w:ascii="Times New Roman" w:cs="Times New Roman" w:hAnsi="Times New Roman"/>
        </w:rPr>
        <w:fldChar w:fldCharType="end"/>
      </w:r>
      <w:r>
        <w:rPr>
          <w:rFonts w:ascii="Times New Roman" w:cs="Times New Roman" w:hAnsi="Times New Roman"/>
        </w:rPr>
        <w:fldChar w:fldCharType="end"/>
      </w:r>
    </w:p>
    <w:p w14:paraId="10BAF896">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"_Toc233678222" </w:instrText>
      </w:r>
      <w:r>
        <w:rPr/>
        <w:fldChar w:fldCharType="separate"/>
      </w:r>
      <w:r>
        <w:rPr>
          <w:rStyle w:val="style85"/>
          <w:rFonts w:ascii="Times New Roman" w:cs="Times New Roman" w:hAnsi="Times New Roman"/>
        </w:rPr>
        <w:t xml:space="preserve">1.7 </w:t>
      </w:r>
      <w:r>
        <w:rPr>
          <w:rFonts w:ascii="Times New Roman" w:cs="Times New Roman" w:eastAsia="等线" w:hAnsi="Times New Roman"/>
          <w:lang w:val="en-US"/>
        </w:rPr>
        <w:tab/>
      </w:r>
      <w:r>
        <w:rPr>
          <w:rStyle w:val="style85"/>
          <w:rFonts w:ascii="Times New Roman" w:cs="Times New Roman" w:hAnsi="Times New Roman"/>
        </w:rPr>
        <w:t>Significance of the Study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_Toc233678222 \h </w:instrText>
      </w:r>
      <w:r>
        <w:rPr>
          <w:rFonts w:ascii="Times New Roman" w:cs="Times New Roman" w:hAnsi="Times New Roman"/>
        </w:rPr>
        <w:fldChar w:fldCharType="separate"/>
      </w:r>
      <w:r>
        <w:rPr>
          <w:rFonts w:ascii="Times New Roman" w:cs="Times New Roman" w:hAnsi="Times New Roman"/>
        </w:rPr>
        <w:t>11</w:t>
      </w:r>
      <w:r>
        <w:rPr>
          <w:rFonts w:ascii="Times New Roman" w:cs="Times New Roman" w:hAnsi="Times New Roman"/>
        </w:rPr>
        <w:fldChar w:fldCharType="end"/>
      </w:r>
      <w:r>
        <w:rPr>
          <w:rFonts w:ascii="Times New Roman" w:cs="Times New Roman" w:hAnsi="Times New Roman"/>
        </w:rPr>
        <w:fldChar w:fldCharType="end"/>
      </w:r>
    </w:p>
    <w:p w14:paraId="3994898A">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"_Toc233678223" </w:instrText>
      </w:r>
      <w:r>
        <w:rPr/>
        <w:fldChar w:fldCharType="separate"/>
      </w:r>
      <w:r>
        <w:rPr>
          <w:rStyle w:val="style85"/>
          <w:rFonts w:ascii="Times New Roman" w:cs="Times New Roman" w:hAnsi="Times New Roman"/>
          <w:lang w:val="en-US"/>
        </w:rPr>
        <w:t xml:space="preserve">1.8 </w:t>
      </w:r>
      <w:r>
        <w:rPr>
          <w:rFonts w:ascii="Times New Roman" w:cs="Times New Roman" w:eastAsia="等线" w:hAnsi="Times New Roman"/>
          <w:lang w:val="en-US"/>
        </w:rPr>
        <w:tab/>
      </w:r>
      <w:r>
        <w:rPr>
          <w:rStyle w:val="style85"/>
          <w:rFonts w:ascii="Times New Roman" w:cs="Times New Roman" w:hAnsi="Times New Roman"/>
          <w:lang w:val="en-US"/>
        </w:rPr>
        <w:t>Literature Review</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_Toc233678223 \h </w:instrText>
      </w:r>
      <w:r>
        <w:rPr>
          <w:rFonts w:ascii="Times New Roman" w:cs="Times New Roman" w:hAnsi="Times New Roman"/>
        </w:rPr>
        <w:fldChar w:fldCharType="separate"/>
      </w:r>
      <w:r>
        <w:rPr>
          <w:rFonts w:ascii="Times New Roman" w:cs="Times New Roman" w:hAnsi="Times New Roman"/>
        </w:rPr>
        <w:t>11</w:t>
      </w:r>
      <w:r>
        <w:rPr>
          <w:rFonts w:ascii="Times New Roman" w:cs="Times New Roman" w:hAnsi="Times New Roman"/>
        </w:rPr>
        <w:fldChar w:fldCharType="end"/>
      </w:r>
      <w:r>
        <w:rPr>
          <w:rFonts w:ascii="Times New Roman" w:cs="Times New Roman" w:hAnsi="Times New Roman"/>
        </w:rPr>
        <w:fldChar w:fldCharType="end"/>
      </w:r>
    </w:p>
    <w:p w14:paraId="6C5B61DD">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"_Toc233678224" </w:instrText>
      </w:r>
      <w:r>
        <w:rPr/>
        <w:fldChar w:fldCharType="separate"/>
      </w:r>
      <w:r>
        <w:rPr>
          <w:rStyle w:val="style85"/>
          <w:rFonts w:ascii="Times New Roman" w:cs="Times New Roman" w:hAnsi="Times New Roman"/>
        </w:rPr>
        <w:t>CHAPTER TWO</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_Toc233678224 \h </w:instrText>
      </w:r>
      <w:r>
        <w:rPr>
          <w:rFonts w:ascii="Times New Roman" w:cs="Times New Roman" w:hAnsi="Times New Roman"/>
        </w:rPr>
        <w:fldChar w:fldCharType="separate"/>
      </w:r>
      <w:r>
        <w:rPr>
          <w:rFonts w:ascii="Times New Roman" w:cs="Times New Roman" w:hAnsi="Times New Roman"/>
        </w:rPr>
        <w:t>20</w:t>
      </w:r>
      <w:r>
        <w:rPr>
          <w:rFonts w:ascii="Times New Roman" w:cs="Times New Roman" w:hAnsi="Times New Roman"/>
        </w:rPr>
        <w:fldChar w:fldCharType="end"/>
      </w:r>
      <w:r>
        <w:rPr>
          <w:rFonts w:ascii="Times New Roman" w:cs="Times New Roman" w:hAnsi="Times New Roman"/>
        </w:rPr>
        <w:fldChar w:fldCharType="end"/>
      </w:r>
    </w:p>
    <w:p w14:paraId="184339BF">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"_Toc233678225" </w:instrText>
      </w:r>
      <w:r>
        <w:rPr/>
        <w:fldChar w:fldCharType="separate"/>
      </w:r>
      <w:r>
        <w:rPr>
          <w:rStyle w:val="style85"/>
          <w:rFonts w:ascii="Times New Roman" w:cs="Times New Roman" w:hAnsi="Times New Roman"/>
        </w:rPr>
        <w:t>CONCEPTUAL AND THEORETICAL FRAMEWORK</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_Toc233678225 \h </w:instrText>
      </w:r>
      <w:r>
        <w:rPr>
          <w:rFonts w:ascii="Times New Roman" w:cs="Times New Roman" w:hAnsi="Times New Roman"/>
        </w:rPr>
        <w:fldChar w:fldCharType="separate"/>
      </w:r>
      <w:r>
        <w:rPr>
          <w:rFonts w:ascii="Times New Roman" w:cs="Times New Roman" w:hAnsi="Times New Roman"/>
        </w:rPr>
        <w:t>20</w:t>
      </w:r>
      <w:r>
        <w:rPr>
          <w:rFonts w:ascii="Times New Roman" w:cs="Times New Roman" w:hAnsi="Times New Roman"/>
        </w:rPr>
        <w:fldChar w:fldCharType="end"/>
      </w:r>
      <w:r>
        <w:rPr>
          <w:rFonts w:ascii="Times New Roman" w:cs="Times New Roman" w:hAnsi="Times New Roman"/>
        </w:rPr>
        <w:fldChar w:fldCharType="end"/>
      </w:r>
    </w:p>
    <w:p w14:paraId="263670E3">
      <w:pPr>
        <w:pStyle w:val="style20"/>
        <w:tabs>
          <w:tab w:val="right" w:leader="dot" w:pos="9017"/>
        </w:tabs>
        <w:rPr>
          <w:rFonts w:ascii="Times New Roman" w:cs="Times New Roman" w:eastAsia="等线" w:hAnsi="Times New Roman"/>
          <w:lang w:val="en-US"/>
        </w:rPr>
      </w:pPr>
      <w:r>
        <w:rPr/>
        <w:fldChar w:fldCharType="begin"/>
      </w:r>
      <w:r>
        <w:instrText xml:space="preserve"> HYPERLINK \l "_Toc233678226" </w:instrText>
      </w:r>
      <w:r>
        <w:rPr/>
        <w:fldChar w:fldCharType="separate"/>
      </w:r>
      <w:r>
        <w:rPr>
          <w:rStyle w:val="style85"/>
          <w:rFonts w:ascii="Times New Roman" w:cs="Times New Roman" w:hAnsi="Times New Roman"/>
          <w:bCs/>
        </w:rPr>
        <w:t xml:space="preserve">2.1   </w:t>
      </w:r>
      <w:r>
        <w:rPr>
          <w:rStyle w:val="style85"/>
          <w:rFonts w:ascii="Times New Roman" w:cs="Times New Roman" w:hAnsi="Times New Roman"/>
        </w:rPr>
        <w:t>Concept of Parenthood and Parentage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_Toc233678226 \h </w:instrText>
      </w:r>
      <w:r>
        <w:rPr>
          <w:rFonts w:ascii="Times New Roman" w:cs="Times New Roman" w:hAnsi="Times New Roman"/>
        </w:rPr>
        <w:fldChar w:fldCharType="separate"/>
      </w:r>
      <w:r>
        <w:rPr>
          <w:rFonts w:ascii="Times New Roman" w:cs="Times New Roman" w:hAnsi="Times New Roman"/>
        </w:rPr>
        <w:t>20</w:t>
      </w:r>
      <w:r>
        <w:rPr>
          <w:rFonts w:ascii="Times New Roman" w:cs="Times New Roman" w:hAnsi="Times New Roman"/>
        </w:rPr>
        <w:fldChar w:fldCharType="end"/>
      </w:r>
      <w:r>
        <w:rPr>
          <w:rFonts w:ascii="Times New Roman" w:cs="Times New Roman" w:hAnsi="Times New Roman"/>
        </w:rPr>
        <w:fldChar w:fldCharType="end"/>
      </w:r>
    </w:p>
    <w:p w14:paraId="40E41FB4">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"_Toc233678227"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2</w:t>
      </w:r>
      <w:r>
        <w:rPr>
          <w:rFonts w:ascii="Times New Roman" w:cs="Times New Roman" w:eastAsia="等线" w:hAnsi="Times New Roman"/>
          <w:lang w:val="en-US"/>
        </w:rPr>
        <w:tab/>
      </w:r>
      <w:r>
        <w:rPr>
          <w:rStyle w:val="style85"/>
          <w:rFonts w:ascii="Times New Roman" w:cs="Times New Roman" w:hAnsi="Times New Roman"/>
        </w:rPr>
        <w:t>Meaning and Nature of Assisted Reproductive Technology (ART)</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_Toc233678227 \h </w:instrText>
      </w:r>
      <w:r>
        <w:rPr>
          <w:rFonts w:ascii="Times New Roman" w:cs="Times New Roman" w:hAnsi="Times New Roman"/>
        </w:rPr>
        <w:fldChar w:fldCharType="separate"/>
      </w:r>
      <w:r>
        <w:rPr>
          <w:rFonts w:ascii="Times New Roman" w:cs="Times New Roman" w:hAnsi="Times New Roman"/>
        </w:rPr>
        <w:t>24</w:t>
      </w:r>
      <w:r>
        <w:rPr>
          <w:rFonts w:ascii="Times New Roman" w:cs="Times New Roman" w:hAnsi="Times New Roman"/>
        </w:rPr>
        <w:fldChar w:fldCharType="end"/>
      </w:r>
      <w:r>
        <w:rPr>
          <w:rFonts w:ascii="Times New Roman" w:cs="Times New Roman" w:hAnsi="Times New Roman"/>
        </w:rPr>
        <w:fldChar w:fldCharType="end"/>
      </w:r>
    </w:p>
    <w:p w14:paraId="4BCC56FE">
      <w:pPr>
        <w:pStyle w:val="style20"/>
        <w:tabs>
          <w:tab w:val="right" w:leader="dot" w:pos="9017"/>
        </w:tabs>
        <w:rPr>
          <w:rFonts w:ascii="Times New Roman" w:cs="Times New Roman" w:eastAsia="等线" w:hAnsi="Times New Roman"/>
          <w:lang w:val="en-US"/>
        </w:rPr>
      </w:pPr>
      <w:r>
        <w:rPr/>
        <w:fldChar w:fldCharType="begin"/>
      </w:r>
      <w:r>
        <w:instrText xml:space="preserve"> HYPERLINK \l "_Toc233678228" </w:instrText>
      </w:r>
      <w:r>
        <w:rPr/>
        <w:fldChar w:fldCharType="separate"/>
      </w:r>
      <w:r>
        <w:rPr>
          <w:rStyle w:val="style85"/>
          <w:rFonts w:ascii="Times New Roman" w:cs="Times New Roman" w:hAnsi="Times New Roman"/>
        </w:rPr>
        <w:t>2.3 Forms of Assisted Reproductive Technology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_Toc233678228 \h </w:instrText>
      </w:r>
      <w:r>
        <w:rPr>
          <w:rFonts w:ascii="Times New Roman" w:cs="Times New Roman" w:hAnsi="Times New Roman"/>
        </w:rPr>
        <w:fldChar w:fldCharType="separate"/>
      </w:r>
      <w:r>
        <w:rPr>
          <w:rFonts w:ascii="Times New Roman" w:cs="Times New Roman" w:hAnsi="Times New Roman"/>
        </w:rPr>
        <w:t>27</w:t>
      </w:r>
      <w:r>
        <w:rPr>
          <w:rFonts w:ascii="Times New Roman" w:cs="Times New Roman" w:hAnsi="Times New Roman"/>
        </w:rPr>
        <w:fldChar w:fldCharType="end"/>
      </w:r>
      <w:r>
        <w:rPr>
          <w:rFonts w:ascii="Times New Roman" w:cs="Times New Roman" w:hAnsi="Times New Roman"/>
        </w:rPr>
        <w:fldChar w:fldCharType="end"/>
      </w:r>
    </w:p>
    <w:p w14:paraId="04EC8F0D">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"_Toc233678229" </w:instrText>
      </w:r>
      <w:r>
        <w:rPr/>
        <w:fldChar w:fldCharType="separate"/>
      </w:r>
      <w:r>
        <w:rPr>
          <w:rStyle w:val="style85"/>
          <w:rFonts w:ascii="Times New Roman" w:cs="Times New Roman" w:hAnsi="Times New Roman"/>
        </w:rPr>
        <w:t xml:space="preserve">2.3.1 </w:t>
      </w:r>
      <w:r>
        <w:rPr>
          <w:rFonts w:ascii="Times New Roman" w:cs="Times New Roman" w:eastAsia="等线" w:hAnsi="Times New Roman"/>
          <w:lang w:val="en-US"/>
        </w:rPr>
        <w:tab/>
      </w:r>
      <w:r>
        <w:rPr>
          <w:rStyle w:val="style85"/>
          <w:rFonts w:ascii="Times New Roman" w:cs="Times New Roman" w:hAnsi="Times New Roman"/>
        </w:rPr>
        <w:t>Artificial Insemination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_Toc233678229 \h </w:instrText>
      </w:r>
      <w:r>
        <w:rPr>
          <w:rFonts w:ascii="Times New Roman" w:cs="Times New Roman" w:hAnsi="Times New Roman"/>
        </w:rPr>
        <w:fldChar w:fldCharType="separate"/>
      </w:r>
      <w:r>
        <w:rPr>
          <w:rFonts w:ascii="Times New Roman" w:cs="Times New Roman" w:hAnsi="Times New Roman"/>
        </w:rPr>
        <w:t>27</w:t>
      </w:r>
      <w:r>
        <w:rPr>
          <w:rFonts w:ascii="Times New Roman" w:cs="Times New Roman" w:hAnsi="Times New Roman"/>
        </w:rPr>
        <w:fldChar w:fldCharType="end"/>
      </w:r>
      <w:r>
        <w:rPr>
          <w:rFonts w:ascii="Times New Roman" w:cs="Times New Roman" w:hAnsi="Times New Roman"/>
        </w:rPr>
        <w:fldChar w:fldCharType="end"/>
      </w:r>
    </w:p>
    <w:p w14:paraId="409AB1B2">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"_Toc233678230" </w:instrText>
      </w:r>
      <w:r>
        <w:rPr/>
        <w:fldChar w:fldCharType="separate"/>
      </w:r>
      <w:r>
        <w:rPr>
          <w:rStyle w:val="style85"/>
          <w:rFonts w:ascii="Times New Roman" w:cs="Times New Roman" w:hAnsi="Times New Roman"/>
        </w:rPr>
        <w:t>2.3.</w:t>
      </w:r>
      <w:r>
        <w:rPr>
          <w:rStyle w:val="style85"/>
          <w:rFonts w:ascii="Times New Roman" w:cs="Times New Roman" w:hAnsi="Times New Roman"/>
          <w:lang w:val="en-US"/>
        </w:rPr>
        <w:t>2</w:t>
      </w:r>
      <w:r>
        <w:rPr>
          <w:rFonts w:ascii="Times New Roman" w:cs="Times New Roman" w:eastAsia="等线" w:hAnsi="Times New Roman"/>
          <w:lang w:val="en-US"/>
        </w:rPr>
        <w:tab/>
      </w:r>
      <w:r>
        <w:rPr>
          <w:rStyle w:val="style85"/>
          <w:rFonts w:ascii="Times New Roman" w:cs="Times New Roman" w:hAnsi="Times New Roman"/>
        </w:rPr>
        <w:t xml:space="preserve">In Vitro </w:t>
      </w:r>
      <w:r>
        <w:rPr>
          <w:rStyle w:val="style85"/>
          <w:rFonts w:ascii="Times New Roman" w:cs="Times New Roman" w:hAnsi="Times New Roman"/>
          <w:lang w:val="en-US"/>
        </w:rPr>
        <w:t>Fertilization</w:t>
      </w:r>
      <w:r>
        <w:rPr>
          <w:rStyle w:val="style85"/>
          <w:rFonts w:ascii="Times New Roman" w:cs="Times New Roman" w:hAnsi="Times New Roman"/>
        </w:rPr>
        <w:t xml:space="preserve"> (IVF)</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_Toc233678230 \h </w:instrText>
      </w:r>
      <w:r>
        <w:rPr>
          <w:rFonts w:ascii="Times New Roman" w:cs="Times New Roman" w:hAnsi="Times New Roman"/>
        </w:rPr>
        <w:fldChar w:fldCharType="separate"/>
      </w:r>
      <w:r>
        <w:rPr>
          <w:rFonts w:ascii="Times New Roman" w:cs="Times New Roman" w:hAnsi="Times New Roman"/>
        </w:rPr>
        <w:t>27</w:t>
      </w:r>
      <w:r>
        <w:rPr>
          <w:rFonts w:ascii="Times New Roman" w:cs="Times New Roman" w:hAnsi="Times New Roman"/>
        </w:rPr>
        <w:fldChar w:fldCharType="end"/>
      </w:r>
      <w:r>
        <w:rPr>
          <w:rFonts w:ascii="Times New Roman" w:cs="Times New Roman" w:hAnsi="Times New Roman"/>
        </w:rPr>
        <w:fldChar w:fldCharType="end"/>
      </w:r>
    </w:p>
    <w:p w14:paraId="5F3C6271">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"_Toc233678231"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3</w:t>
      </w:r>
      <w:r>
        <w:rPr>
          <w:rStyle w:val="style85"/>
          <w:rFonts w:ascii="Times New Roman" w:cs="Times New Roman" w:hAnsi="Times New Roman"/>
        </w:rPr>
        <w:t xml:space="preserve">.3 </w:t>
      </w:r>
      <w:r>
        <w:rPr>
          <w:rFonts w:ascii="Times New Roman" w:cs="Times New Roman" w:eastAsia="等线" w:hAnsi="Times New Roman"/>
          <w:lang w:val="en-US"/>
        </w:rPr>
        <w:tab/>
      </w:r>
      <w:r>
        <w:rPr>
          <w:rStyle w:val="style85"/>
          <w:rFonts w:ascii="Times New Roman" w:cs="Times New Roman" w:hAnsi="Times New Roman"/>
        </w:rPr>
        <w:t>Egg Donation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_Toc233678231 \h </w:instrText>
      </w:r>
      <w:r>
        <w:rPr>
          <w:rFonts w:ascii="Times New Roman" w:cs="Times New Roman" w:hAnsi="Times New Roman"/>
        </w:rPr>
        <w:fldChar w:fldCharType="separate"/>
      </w:r>
      <w:r>
        <w:rPr>
          <w:rFonts w:ascii="Times New Roman" w:cs="Times New Roman" w:hAnsi="Times New Roman"/>
        </w:rPr>
        <w:t>28</w:t>
      </w:r>
      <w:r>
        <w:rPr>
          <w:rFonts w:ascii="Times New Roman" w:cs="Times New Roman" w:hAnsi="Times New Roman"/>
        </w:rPr>
        <w:fldChar w:fldCharType="end"/>
      </w:r>
      <w:r>
        <w:rPr>
          <w:rFonts w:ascii="Times New Roman" w:cs="Times New Roman" w:hAnsi="Times New Roman"/>
        </w:rPr>
        <w:fldChar w:fldCharType="end"/>
      </w:r>
    </w:p>
    <w:p w14:paraId="4EEC0966">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"_Toc233678232"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3</w:t>
      </w:r>
      <w:r>
        <w:rPr>
          <w:rStyle w:val="style85"/>
          <w:rFonts w:ascii="Times New Roman" w:cs="Times New Roman" w:hAnsi="Times New Roman"/>
        </w:rPr>
        <w:t xml:space="preserve">.4 </w:t>
      </w:r>
      <w:r>
        <w:rPr>
          <w:rFonts w:ascii="Times New Roman" w:cs="Times New Roman" w:eastAsia="等线" w:hAnsi="Times New Roman"/>
          <w:lang w:val="en-US"/>
        </w:rPr>
        <w:tab/>
      </w:r>
      <w:r>
        <w:rPr>
          <w:rStyle w:val="style85"/>
          <w:rFonts w:ascii="Times New Roman" w:cs="Times New Roman" w:hAnsi="Times New Roman"/>
        </w:rPr>
        <w:t>Sperm Donation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_Toc233678232 \h </w:instrText>
      </w:r>
      <w:r>
        <w:rPr>
          <w:rFonts w:ascii="Times New Roman" w:cs="Times New Roman" w:hAnsi="Times New Roman"/>
        </w:rPr>
        <w:fldChar w:fldCharType="separate"/>
      </w:r>
      <w:r>
        <w:rPr>
          <w:rFonts w:ascii="Times New Roman" w:cs="Times New Roman" w:hAnsi="Times New Roman"/>
        </w:rPr>
        <w:t>28</w:t>
      </w:r>
      <w:r>
        <w:rPr>
          <w:rFonts w:ascii="Times New Roman" w:cs="Times New Roman" w:hAnsi="Times New Roman"/>
        </w:rPr>
        <w:fldChar w:fldCharType="end"/>
      </w:r>
      <w:r>
        <w:rPr>
          <w:rFonts w:ascii="Times New Roman" w:cs="Times New Roman" w:hAnsi="Times New Roman"/>
        </w:rPr>
        <w:fldChar w:fldCharType="end"/>
      </w:r>
    </w:p>
    <w:p w14:paraId="3219506A">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"_Toc233678233"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3</w:t>
      </w:r>
      <w:r>
        <w:rPr>
          <w:rStyle w:val="style85"/>
          <w:rFonts w:ascii="Times New Roman" w:cs="Times New Roman" w:hAnsi="Times New Roman"/>
        </w:rPr>
        <w:t xml:space="preserve">.5 </w:t>
      </w:r>
      <w:r>
        <w:rPr>
          <w:rFonts w:ascii="Times New Roman" w:cs="Times New Roman" w:eastAsia="等线" w:hAnsi="Times New Roman"/>
          <w:lang w:val="en-US"/>
        </w:rPr>
        <w:tab/>
      </w:r>
      <w:r>
        <w:rPr>
          <w:rStyle w:val="style85"/>
          <w:rFonts w:ascii="Times New Roman" w:cs="Times New Roman" w:hAnsi="Times New Roman"/>
        </w:rPr>
        <w:t>Embryo Donation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_Toc233678233 \h </w:instrText>
      </w:r>
      <w:r>
        <w:rPr>
          <w:rFonts w:ascii="Times New Roman" w:cs="Times New Roman" w:hAnsi="Times New Roman"/>
        </w:rPr>
        <w:fldChar w:fldCharType="separate"/>
      </w:r>
      <w:r>
        <w:rPr>
          <w:rFonts w:ascii="Times New Roman" w:cs="Times New Roman" w:hAnsi="Times New Roman"/>
        </w:rPr>
        <w:t>29</w:t>
      </w:r>
      <w:r>
        <w:rPr>
          <w:rFonts w:ascii="Times New Roman" w:cs="Times New Roman" w:hAnsi="Times New Roman"/>
        </w:rPr>
        <w:fldChar w:fldCharType="end"/>
      </w:r>
      <w:r>
        <w:rPr>
          <w:rFonts w:ascii="Times New Roman" w:cs="Times New Roman" w:hAnsi="Times New Roman"/>
        </w:rPr>
        <w:fldChar w:fldCharType="end"/>
      </w:r>
    </w:p>
    <w:p w14:paraId="35FCBD34">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"_Toc233678234"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3</w:t>
      </w:r>
      <w:r>
        <w:rPr>
          <w:rStyle w:val="style85"/>
          <w:rFonts w:ascii="Times New Roman" w:cs="Times New Roman" w:hAnsi="Times New Roman"/>
        </w:rPr>
        <w:t xml:space="preserve">.6 </w:t>
      </w:r>
      <w:r>
        <w:rPr>
          <w:rFonts w:ascii="Times New Roman" w:cs="Times New Roman" w:eastAsia="等线" w:hAnsi="Times New Roman"/>
          <w:lang w:val="en-US"/>
        </w:rPr>
        <w:tab/>
      </w:r>
      <w:r>
        <w:rPr>
          <w:rStyle w:val="style85"/>
          <w:rFonts w:ascii="Times New Roman" w:cs="Times New Roman" w:hAnsi="Times New Roman"/>
        </w:rPr>
        <w:t>Cryopreservation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_Toc233678234 \h </w:instrText>
      </w:r>
      <w:r>
        <w:rPr>
          <w:rFonts w:ascii="Times New Roman" w:cs="Times New Roman" w:hAnsi="Times New Roman"/>
        </w:rPr>
        <w:fldChar w:fldCharType="separate"/>
      </w:r>
      <w:r>
        <w:rPr>
          <w:rFonts w:ascii="Times New Roman" w:cs="Times New Roman" w:hAnsi="Times New Roman"/>
        </w:rPr>
        <w:t>30</w:t>
      </w:r>
      <w:r>
        <w:rPr>
          <w:rFonts w:ascii="Times New Roman" w:cs="Times New Roman" w:hAnsi="Times New Roman"/>
        </w:rPr>
        <w:fldChar w:fldCharType="end"/>
      </w:r>
      <w:r>
        <w:rPr>
          <w:rFonts w:ascii="Times New Roman" w:cs="Times New Roman" w:hAnsi="Times New Roman"/>
        </w:rPr>
        <w:fldChar w:fldCharType="end"/>
      </w:r>
    </w:p>
    <w:p w14:paraId="5CE4CD56">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"_Toc233678235" </w:instrText>
      </w:r>
      <w:r>
        <w:rPr/>
        <w:fldChar w:fldCharType="separate"/>
      </w:r>
      <w:r>
        <w:rPr>
          <w:rStyle w:val="style85"/>
          <w:rFonts w:ascii="Times New Roman" w:cs="Times New Roman" w:hAnsi="Times New Roman"/>
        </w:rPr>
        <w:t xml:space="preserve">2.4 </w:t>
      </w:r>
      <w:r>
        <w:rPr>
          <w:rFonts w:ascii="Times New Roman" w:cs="Times New Roman" w:eastAsia="等线" w:hAnsi="Times New Roman"/>
          <w:lang w:val="en-US"/>
        </w:rPr>
        <w:tab/>
      </w:r>
      <w:r>
        <w:rPr>
          <w:rStyle w:val="style85"/>
          <w:rFonts w:ascii="Times New Roman" w:cs="Times New Roman" w:hAnsi="Times New Roman"/>
        </w:rPr>
        <w:t>Meaning and Nature of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_Toc233678235 \h </w:instrText>
      </w:r>
      <w:r>
        <w:rPr>
          <w:rFonts w:ascii="Times New Roman" w:cs="Times New Roman" w:hAnsi="Times New Roman"/>
        </w:rPr>
        <w:fldChar w:fldCharType="separate"/>
      </w:r>
      <w:r>
        <w:rPr>
          <w:rFonts w:ascii="Times New Roman" w:cs="Times New Roman" w:hAnsi="Times New Roman"/>
        </w:rPr>
        <w:t>31</w:t>
      </w:r>
      <w:r>
        <w:rPr>
          <w:rFonts w:ascii="Times New Roman" w:cs="Times New Roman" w:hAnsi="Times New Roman"/>
        </w:rPr>
        <w:fldChar w:fldCharType="end"/>
      </w:r>
      <w:r>
        <w:rPr>
          <w:rFonts w:ascii="Times New Roman" w:cs="Times New Roman" w:hAnsi="Times New Roman"/>
        </w:rPr>
        <w:fldChar w:fldCharType="end"/>
      </w:r>
    </w:p>
    <w:p w14:paraId="3527E680">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"_Toc233678236" </w:instrText>
      </w:r>
      <w:r>
        <w:rPr/>
        <w:fldChar w:fldCharType="separate"/>
      </w:r>
      <w:r>
        <w:rPr>
          <w:rStyle w:val="style85"/>
          <w:rFonts w:ascii="Times New Roman" w:cs="Times New Roman" w:hAnsi="Times New Roman"/>
        </w:rPr>
        <w:t xml:space="preserve">2.5 </w:t>
      </w:r>
      <w:r>
        <w:rPr>
          <w:rFonts w:ascii="Times New Roman" w:cs="Times New Roman" w:eastAsia="等线" w:hAnsi="Times New Roman"/>
          <w:lang w:val="en-US"/>
        </w:rPr>
        <w:tab/>
      </w:r>
      <w:r>
        <w:rPr>
          <w:rStyle w:val="style85"/>
          <w:rFonts w:ascii="Times New Roman" w:cs="Times New Roman" w:hAnsi="Times New Roman"/>
        </w:rPr>
        <w:t>Types of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_Toc233678236 \h </w:instrText>
      </w:r>
      <w:r>
        <w:rPr>
          <w:rFonts w:ascii="Times New Roman" w:cs="Times New Roman" w:hAnsi="Times New Roman"/>
        </w:rPr>
        <w:fldChar w:fldCharType="separate"/>
      </w:r>
      <w:r>
        <w:rPr>
          <w:rFonts w:ascii="Times New Roman" w:cs="Times New Roman" w:hAnsi="Times New Roman"/>
        </w:rPr>
        <w:t>33</w:t>
      </w:r>
      <w:r>
        <w:rPr>
          <w:rFonts w:ascii="Times New Roman" w:cs="Times New Roman" w:hAnsi="Times New Roman"/>
        </w:rPr>
        <w:fldChar w:fldCharType="end"/>
      </w:r>
      <w:r>
        <w:rPr>
          <w:rFonts w:ascii="Times New Roman" w:cs="Times New Roman" w:hAnsi="Times New Roman"/>
        </w:rPr>
        <w:fldChar w:fldCharType="end"/>
      </w:r>
    </w:p>
    <w:p w14:paraId="1B78ABDF">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"_Toc233678237"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5</w:t>
      </w:r>
      <w:r>
        <w:rPr>
          <w:rStyle w:val="style85"/>
          <w:rFonts w:ascii="Times New Roman" w:cs="Times New Roman" w:hAnsi="Times New Roman"/>
        </w:rPr>
        <w:t xml:space="preserve">.1 </w:t>
      </w:r>
      <w:r>
        <w:rPr>
          <w:rFonts w:ascii="Times New Roman" w:cs="Times New Roman" w:eastAsia="等线" w:hAnsi="Times New Roman"/>
          <w:lang w:val="en-US"/>
        </w:rPr>
        <w:tab/>
      </w:r>
      <w:r>
        <w:rPr>
          <w:rStyle w:val="style85"/>
          <w:rFonts w:ascii="Times New Roman" w:cs="Times New Roman" w:hAnsi="Times New Roman"/>
        </w:rPr>
        <w:t>Traditional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_Toc233678237 \h </w:instrText>
      </w:r>
      <w:r>
        <w:rPr>
          <w:rFonts w:ascii="Times New Roman" w:cs="Times New Roman" w:hAnsi="Times New Roman"/>
        </w:rPr>
        <w:fldChar w:fldCharType="separate"/>
      </w:r>
      <w:r>
        <w:rPr>
          <w:rFonts w:ascii="Times New Roman" w:cs="Times New Roman" w:hAnsi="Times New Roman"/>
        </w:rPr>
        <w:t>33</w:t>
      </w:r>
      <w:r>
        <w:rPr>
          <w:rFonts w:ascii="Times New Roman" w:cs="Times New Roman" w:hAnsi="Times New Roman"/>
        </w:rPr>
        <w:fldChar w:fldCharType="end"/>
      </w:r>
      <w:r>
        <w:rPr>
          <w:rFonts w:ascii="Times New Roman" w:cs="Times New Roman" w:hAnsi="Times New Roman"/>
        </w:rPr>
        <w:fldChar w:fldCharType="end"/>
      </w:r>
    </w:p>
    <w:p w14:paraId="650A7909">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"_Toc233678238"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5</w:t>
      </w:r>
      <w:r>
        <w:rPr>
          <w:rStyle w:val="style85"/>
          <w:rFonts w:ascii="Times New Roman" w:cs="Times New Roman" w:hAnsi="Times New Roman"/>
        </w:rPr>
        <w:t xml:space="preserve">.2 </w:t>
      </w:r>
      <w:r>
        <w:rPr>
          <w:rFonts w:ascii="Times New Roman" w:cs="Times New Roman" w:eastAsia="等线" w:hAnsi="Times New Roman"/>
          <w:lang w:val="en-US"/>
        </w:rPr>
        <w:tab/>
      </w:r>
      <w:r>
        <w:rPr>
          <w:rStyle w:val="style85"/>
          <w:rFonts w:ascii="Times New Roman" w:cs="Times New Roman" w:hAnsi="Times New Roman"/>
        </w:rPr>
        <w:t>Gestational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_Toc233678238 \h </w:instrText>
      </w:r>
      <w:r>
        <w:rPr>
          <w:rFonts w:ascii="Times New Roman" w:cs="Times New Roman" w:hAnsi="Times New Roman"/>
        </w:rPr>
        <w:fldChar w:fldCharType="separate"/>
      </w:r>
      <w:r>
        <w:rPr>
          <w:rFonts w:ascii="Times New Roman" w:cs="Times New Roman" w:hAnsi="Times New Roman"/>
        </w:rPr>
        <w:t>33</w:t>
      </w:r>
      <w:r>
        <w:rPr>
          <w:rFonts w:ascii="Times New Roman" w:cs="Times New Roman" w:hAnsi="Times New Roman"/>
        </w:rPr>
        <w:fldChar w:fldCharType="end"/>
      </w:r>
      <w:r>
        <w:rPr>
          <w:rFonts w:ascii="Times New Roman" w:cs="Times New Roman" w:hAnsi="Times New Roman"/>
        </w:rPr>
        <w:fldChar w:fldCharType="end"/>
      </w:r>
    </w:p>
    <w:p w14:paraId="2EFDE400">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"_Toc233678239"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5</w:t>
      </w:r>
      <w:r>
        <w:rPr>
          <w:rStyle w:val="style85"/>
          <w:rFonts w:ascii="Times New Roman" w:cs="Times New Roman" w:hAnsi="Times New Roman"/>
        </w:rPr>
        <w:t xml:space="preserve">.3 </w:t>
      </w:r>
      <w:r>
        <w:rPr>
          <w:rFonts w:ascii="Times New Roman" w:cs="Times New Roman" w:eastAsia="等线" w:hAnsi="Times New Roman"/>
          <w:lang w:val="en-US"/>
        </w:rPr>
        <w:tab/>
      </w:r>
      <w:r>
        <w:rPr>
          <w:rStyle w:val="style85"/>
          <w:rFonts w:ascii="Times New Roman" w:cs="Times New Roman" w:hAnsi="Times New Roman"/>
        </w:rPr>
        <w:t>Altruistic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_Toc233678239 \h </w:instrText>
      </w:r>
      <w:r>
        <w:rPr>
          <w:rFonts w:ascii="Times New Roman" w:cs="Times New Roman" w:hAnsi="Times New Roman"/>
        </w:rPr>
        <w:fldChar w:fldCharType="separate"/>
      </w:r>
      <w:r>
        <w:rPr>
          <w:rFonts w:ascii="Times New Roman" w:cs="Times New Roman" w:hAnsi="Times New Roman"/>
        </w:rPr>
        <w:t>34</w:t>
      </w:r>
      <w:r>
        <w:rPr>
          <w:rFonts w:ascii="Times New Roman" w:cs="Times New Roman" w:hAnsi="Times New Roman"/>
        </w:rPr>
        <w:fldChar w:fldCharType="end"/>
      </w:r>
      <w:r>
        <w:rPr>
          <w:rFonts w:ascii="Times New Roman" w:cs="Times New Roman" w:hAnsi="Times New Roman"/>
        </w:rPr>
        <w:fldChar w:fldCharType="end"/>
      </w:r>
    </w:p>
    <w:p w14:paraId="423C5D59">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"_Toc233678240"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5</w:t>
      </w:r>
      <w:r>
        <w:rPr>
          <w:rStyle w:val="style85"/>
          <w:rFonts w:ascii="Times New Roman" w:cs="Times New Roman" w:hAnsi="Times New Roman"/>
        </w:rPr>
        <w:t xml:space="preserve">.4 </w:t>
      </w:r>
      <w:r>
        <w:rPr>
          <w:rFonts w:ascii="Times New Roman" w:cs="Times New Roman" w:eastAsia="等线" w:hAnsi="Times New Roman"/>
          <w:lang w:val="en-US"/>
        </w:rPr>
        <w:tab/>
      </w:r>
      <w:r>
        <w:rPr>
          <w:rStyle w:val="style85"/>
          <w:rFonts w:ascii="Times New Roman" w:cs="Times New Roman" w:hAnsi="Times New Roman"/>
        </w:rPr>
        <w:t>Commercial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_Toc233678240 \h </w:instrText>
      </w:r>
      <w:r>
        <w:rPr>
          <w:rFonts w:ascii="Times New Roman" w:cs="Times New Roman" w:hAnsi="Times New Roman"/>
        </w:rPr>
        <w:fldChar w:fldCharType="separate"/>
      </w:r>
      <w:r>
        <w:rPr>
          <w:rFonts w:ascii="Times New Roman" w:cs="Times New Roman" w:hAnsi="Times New Roman"/>
        </w:rPr>
        <w:t>35</w:t>
      </w:r>
      <w:r>
        <w:rPr>
          <w:rFonts w:ascii="Times New Roman" w:cs="Times New Roman" w:hAnsi="Times New Roman"/>
        </w:rPr>
        <w:fldChar w:fldCharType="end"/>
      </w:r>
      <w:r>
        <w:rPr>
          <w:rFonts w:ascii="Times New Roman" w:cs="Times New Roman" w:hAnsi="Times New Roman"/>
        </w:rPr>
        <w:fldChar w:fldCharType="end"/>
      </w:r>
    </w:p>
    <w:p w14:paraId="4CBC6E88">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"_Toc233678241" </w:instrText>
      </w:r>
      <w:r>
        <w:rPr/>
        <w:fldChar w:fldCharType="separate"/>
      </w:r>
      <w:r>
        <w:rPr>
          <w:rStyle w:val="style85"/>
          <w:rFonts w:ascii="Times New Roman" w:cs="Times New Roman" w:hAnsi="Times New Roman"/>
        </w:rPr>
        <w:t xml:space="preserve">2.6 </w:t>
      </w:r>
      <w:r>
        <w:rPr>
          <w:rFonts w:ascii="Times New Roman" w:cs="Times New Roman" w:eastAsia="等线" w:hAnsi="Times New Roman"/>
          <w:lang w:val="en-US"/>
        </w:rPr>
        <w:tab/>
      </w:r>
      <w:r>
        <w:rPr>
          <w:rStyle w:val="style85"/>
          <w:rFonts w:ascii="Times New Roman" w:cs="Times New Roman" w:hAnsi="Times New Roman"/>
        </w:rPr>
        <w:t>Concept of Child Rights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_Toc233678241 \h </w:instrText>
      </w:r>
      <w:r>
        <w:rPr>
          <w:rFonts w:ascii="Times New Roman" w:cs="Times New Roman" w:hAnsi="Times New Roman"/>
        </w:rPr>
        <w:fldChar w:fldCharType="separate"/>
      </w:r>
      <w:r>
        <w:rPr>
          <w:rFonts w:ascii="Times New Roman" w:cs="Times New Roman" w:hAnsi="Times New Roman"/>
        </w:rPr>
        <w:t>36</w:t>
      </w:r>
      <w:r>
        <w:rPr>
          <w:rFonts w:ascii="Times New Roman" w:cs="Times New Roman" w:hAnsi="Times New Roman"/>
        </w:rPr>
        <w:fldChar w:fldCharType="end"/>
      </w:r>
      <w:r>
        <w:rPr>
          <w:rFonts w:ascii="Times New Roman" w:cs="Times New Roman" w:hAnsi="Times New Roman"/>
        </w:rPr>
        <w:fldChar w:fldCharType="end"/>
      </w:r>
    </w:p>
    <w:p w14:paraId="4D95B8DC">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"_Toc233678242" </w:instrText>
      </w:r>
      <w:r>
        <w:rPr/>
        <w:fldChar w:fldCharType="separate"/>
      </w:r>
      <w:r>
        <w:rPr>
          <w:rStyle w:val="style85"/>
          <w:rFonts w:ascii="Times New Roman" w:cs="Times New Roman" w:hAnsi="Times New Roman"/>
        </w:rPr>
        <w:t xml:space="preserve">2.7 </w:t>
      </w:r>
      <w:r>
        <w:rPr>
          <w:rFonts w:ascii="Times New Roman" w:cs="Times New Roman" w:eastAsia="等线" w:hAnsi="Times New Roman"/>
          <w:lang w:val="en-US"/>
        </w:rPr>
        <w:tab/>
      </w:r>
      <w:r>
        <w:rPr>
          <w:rStyle w:val="style85"/>
          <w:rFonts w:ascii="Times New Roman" w:cs="Times New Roman" w:hAnsi="Times New Roman"/>
        </w:rPr>
        <w:t>Conceptual Clarification of Key Terms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_Toc233678242 \h </w:instrText>
      </w:r>
      <w:r>
        <w:rPr>
          <w:rFonts w:ascii="Times New Roman" w:cs="Times New Roman" w:hAnsi="Times New Roman"/>
        </w:rPr>
        <w:fldChar w:fldCharType="separate"/>
      </w:r>
      <w:r>
        <w:rPr>
          <w:rFonts w:ascii="Times New Roman" w:cs="Times New Roman" w:hAnsi="Times New Roman"/>
        </w:rPr>
        <w:t>39</w:t>
      </w:r>
      <w:r>
        <w:rPr>
          <w:rFonts w:ascii="Times New Roman" w:cs="Times New Roman" w:hAnsi="Times New Roman"/>
        </w:rPr>
        <w:fldChar w:fldCharType="end"/>
      </w:r>
      <w:r>
        <w:rPr>
          <w:rFonts w:ascii="Times New Roman" w:cs="Times New Roman" w:hAnsi="Times New Roman"/>
        </w:rPr>
        <w:fldChar w:fldCharType="end"/>
      </w:r>
    </w:p>
    <w:p w14:paraId="636DD24A">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"_Toc233678243" </w:instrText>
      </w:r>
      <w:r>
        <w:rPr/>
        <w:fldChar w:fldCharType="separate"/>
      </w:r>
      <w:r>
        <w:rPr>
          <w:rStyle w:val="style85"/>
          <w:rFonts w:ascii="Times New Roman" w:cs="Times New Roman" w:hAnsi="Times New Roman"/>
          <w:lang w:val="en-US"/>
        </w:rPr>
        <w:t xml:space="preserve">2.7.1 </w:t>
      </w:r>
      <w:r>
        <w:rPr>
          <w:rFonts w:ascii="Times New Roman" w:cs="Times New Roman" w:eastAsia="等线" w:hAnsi="Times New Roman"/>
          <w:lang w:val="en-US"/>
        </w:rPr>
        <w:tab/>
      </w:r>
      <w:r>
        <w:rPr>
          <w:rStyle w:val="style85"/>
          <w:rFonts w:ascii="Times New Roman" w:cs="Times New Roman" w:hAnsi="Times New Roman"/>
        </w:rPr>
        <w:t>Legal Parent</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_Toc233678243 \h </w:instrText>
      </w:r>
      <w:r>
        <w:rPr>
          <w:rFonts w:ascii="Times New Roman" w:cs="Times New Roman" w:hAnsi="Times New Roman"/>
        </w:rPr>
        <w:fldChar w:fldCharType="separate"/>
      </w:r>
      <w:r>
        <w:rPr>
          <w:rFonts w:ascii="Times New Roman" w:cs="Times New Roman" w:hAnsi="Times New Roman"/>
        </w:rPr>
        <w:t>39</w:t>
      </w:r>
      <w:r>
        <w:rPr>
          <w:rFonts w:ascii="Times New Roman" w:cs="Times New Roman" w:hAnsi="Times New Roman"/>
        </w:rPr>
        <w:fldChar w:fldCharType="end"/>
      </w:r>
      <w:r>
        <w:rPr>
          <w:rFonts w:ascii="Times New Roman" w:cs="Times New Roman" w:hAnsi="Times New Roman"/>
        </w:rPr>
        <w:fldChar w:fldCharType="end"/>
      </w:r>
    </w:p>
    <w:p w14:paraId="502812A8">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"_Toc233678244" </w:instrText>
      </w:r>
      <w:r>
        <w:rPr/>
        <w:fldChar w:fldCharType="separate"/>
      </w:r>
      <w:r>
        <w:rPr>
          <w:rStyle w:val="style85"/>
          <w:rFonts w:ascii="Times New Roman" w:cs="Times New Roman" w:hAnsi="Times New Roman"/>
          <w:lang w:val="en-US"/>
        </w:rPr>
        <w:t xml:space="preserve">2.7.2 </w:t>
      </w:r>
      <w:r>
        <w:rPr>
          <w:rFonts w:ascii="Times New Roman" w:cs="Times New Roman" w:eastAsia="等线" w:hAnsi="Times New Roman"/>
          <w:lang w:val="en-US"/>
        </w:rPr>
        <w:tab/>
      </w:r>
      <w:r>
        <w:rPr>
          <w:rStyle w:val="style85"/>
          <w:rFonts w:ascii="Times New Roman" w:cs="Times New Roman" w:hAnsi="Times New Roman"/>
          <w:lang w:val="en-US"/>
        </w:rPr>
        <w:t>Intending Parent</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_Toc233678244 \h </w:instrText>
      </w:r>
      <w:r>
        <w:rPr>
          <w:rFonts w:ascii="Times New Roman" w:cs="Times New Roman" w:hAnsi="Times New Roman"/>
        </w:rPr>
        <w:fldChar w:fldCharType="separate"/>
      </w:r>
      <w:r>
        <w:rPr>
          <w:rFonts w:ascii="Times New Roman" w:cs="Times New Roman" w:hAnsi="Times New Roman"/>
        </w:rPr>
        <w:t>39</w:t>
      </w:r>
      <w:r>
        <w:rPr>
          <w:rFonts w:ascii="Times New Roman" w:cs="Times New Roman" w:hAnsi="Times New Roman"/>
        </w:rPr>
        <w:fldChar w:fldCharType="end"/>
      </w:r>
      <w:r>
        <w:rPr>
          <w:rFonts w:ascii="Times New Roman" w:cs="Times New Roman" w:hAnsi="Times New Roman"/>
        </w:rPr>
        <w:fldChar w:fldCharType="end"/>
      </w:r>
    </w:p>
    <w:p w14:paraId="71709B33">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"_Toc233678245"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 xml:space="preserve">7.3 </w:t>
      </w:r>
      <w:r>
        <w:rPr>
          <w:rFonts w:ascii="Times New Roman" w:cs="Times New Roman" w:eastAsia="等线" w:hAnsi="Times New Roman"/>
          <w:lang w:val="en-US"/>
        </w:rPr>
        <w:tab/>
      </w:r>
      <w:r>
        <w:rPr>
          <w:rStyle w:val="style85"/>
          <w:rFonts w:ascii="Times New Roman" w:cs="Times New Roman" w:hAnsi="Times New Roman"/>
          <w:lang w:val="en-US"/>
        </w:rPr>
        <w:t>Biology and Intention May Converge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_Toc233678245 \h </w:instrText>
      </w:r>
      <w:r>
        <w:rPr>
          <w:rFonts w:ascii="Times New Roman" w:cs="Times New Roman" w:hAnsi="Times New Roman"/>
        </w:rPr>
        <w:fldChar w:fldCharType="separate"/>
      </w:r>
      <w:r>
        <w:rPr>
          <w:rFonts w:ascii="Times New Roman" w:cs="Times New Roman" w:hAnsi="Times New Roman"/>
        </w:rPr>
        <w:t>39</w:t>
      </w:r>
      <w:r>
        <w:rPr>
          <w:rFonts w:ascii="Times New Roman" w:cs="Times New Roman" w:hAnsi="Times New Roman"/>
        </w:rPr>
        <w:fldChar w:fldCharType="end"/>
      </w:r>
      <w:r>
        <w:rPr>
          <w:rFonts w:ascii="Times New Roman" w:cs="Times New Roman" w:hAnsi="Times New Roman"/>
        </w:rPr>
        <w:fldChar w:fldCharType="end"/>
      </w:r>
    </w:p>
    <w:p w14:paraId="1C8D4774">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"_Toc233678246" </w:instrText>
      </w:r>
      <w:r>
        <w:rPr/>
        <w:fldChar w:fldCharType="separate"/>
      </w:r>
      <w:r>
        <w:rPr>
          <w:rStyle w:val="style85"/>
          <w:rFonts w:ascii="Times New Roman" w:cs="Times New Roman" w:hAnsi="Times New Roman"/>
          <w:lang w:val="en-US"/>
        </w:rPr>
        <w:t xml:space="preserve">2.7.4 </w:t>
      </w:r>
      <w:r>
        <w:rPr>
          <w:rFonts w:ascii="Times New Roman" w:cs="Times New Roman" w:eastAsia="等线" w:hAnsi="Times New Roman"/>
          <w:lang w:val="en-US"/>
        </w:rPr>
        <w:tab/>
      </w:r>
      <w:r>
        <w:rPr>
          <w:rStyle w:val="style85"/>
          <w:rFonts w:ascii="Times New Roman" w:cs="Times New Roman" w:hAnsi="Times New Roman"/>
          <w:lang w:val="en-US"/>
        </w:rPr>
        <w:t>Gamete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_Toc233678246 \h </w:instrText>
      </w:r>
      <w:r>
        <w:rPr>
          <w:rFonts w:ascii="Times New Roman" w:cs="Times New Roman" w:hAnsi="Times New Roman"/>
        </w:rPr>
        <w:fldChar w:fldCharType="separate"/>
      </w:r>
      <w:r>
        <w:rPr>
          <w:rFonts w:ascii="Times New Roman" w:cs="Times New Roman" w:hAnsi="Times New Roman"/>
        </w:rPr>
        <w:t>40</w:t>
      </w:r>
      <w:r>
        <w:rPr>
          <w:rFonts w:ascii="Times New Roman" w:cs="Times New Roman" w:hAnsi="Times New Roman"/>
        </w:rPr>
        <w:fldChar w:fldCharType="end"/>
      </w:r>
      <w:r>
        <w:rPr>
          <w:rFonts w:ascii="Times New Roman" w:cs="Times New Roman" w:hAnsi="Times New Roman"/>
        </w:rPr>
        <w:fldChar w:fldCharType="end"/>
      </w:r>
    </w:p>
    <w:p w14:paraId="4159FDD4">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"_Toc233678247" </w:instrText>
      </w:r>
      <w:r>
        <w:rPr/>
        <w:fldChar w:fldCharType="separate"/>
      </w:r>
      <w:r>
        <w:rPr>
          <w:rStyle w:val="style85"/>
          <w:rFonts w:ascii="Times New Roman" w:cs="Times New Roman" w:hAnsi="Times New Roman"/>
          <w:lang w:val="en-US"/>
        </w:rPr>
        <w:t xml:space="preserve">2.7.5 </w:t>
      </w:r>
      <w:r>
        <w:rPr>
          <w:rFonts w:ascii="Times New Roman" w:cs="Times New Roman" w:eastAsia="等线" w:hAnsi="Times New Roman"/>
          <w:lang w:val="en-US"/>
        </w:rPr>
        <w:tab/>
      </w:r>
      <w:r>
        <w:rPr>
          <w:rStyle w:val="style85"/>
          <w:rFonts w:ascii="Times New Roman" w:cs="Times New Roman" w:hAnsi="Times New Roman"/>
          <w:lang w:val="en-US"/>
        </w:rPr>
        <w:t>Donor</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_Toc233678247 \h </w:instrText>
      </w:r>
      <w:r>
        <w:rPr>
          <w:rFonts w:ascii="Times New Roman" w:cs="Times New Roman" w:hAnsi="Times New Roman"/>
        </w:rPr>
        <w:fldChar w:fldCharType="separate"/>
      </w:r>
      <w:r>
        <w:rPr>
          <w:rFonts w:ascii="Times New Roman" w:cs="Times New Roman" w:hAnsi="Times New Roman"/>
        </w:rPr>
        <w:t>40</w:t>
      </w:r>
      <w:r>
        <w:rPr>
          <w:rFonts w:ascii="Times New Roman" w:cs="Times New Roman" w:hAnsi="Times New Roman"/>
        </w:rPr>
        <w:fldChar w:fldCharType="end"/>
      </w:r>
      <w:r>
        <w:rPr>
          <w:rFonts w:ascii="Times New Roman" w:cs="Times New Roman" w:hAnsi="Times New Roman"/>
        </w:rPr>
        <w:fldChar w:fldCharType="end"/>
      </w:r>
    </w:p>
    <w:p w14:paraId="0338735F">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"_Toc233678248" </w:instrText>
      </w:r>
      <w:r>
        <w:rPr/>
        <w:fldChar w:fldCharType="separate"/>
      </w:r>
      <w:r>
        <w:rPr>
          <w:rStyle w:val="style85"/>
          <w:rFonts w:ascii="Times New Roman" w:cs="Times New Roman" w:hAnsi="Times New Roman"/>
          <w:lang w:val="en-US"/>
        </w:rPr>
        <w:t xml:space="preserve">2.7.6 </w:t>
      </w:r>
      <w:r>
        <w:rPr>
          <w:rFonts w:ascii="Times New Roman" w:cs="Times New Roman" w:eastAsia="等线" w:hAnsi="Times New Roman"/>
          <w:lang w:val="en-US"/>
        </w:rPr>
        <w:tab/>
      </w:r>
      <w:r>
        <w:rPr>
          <w:rStyle w:val="style85"/>
          <w:rFonts w:ascii="Times New Roman" w:cs="Times New Roman" w:hAnsi="Times New Roman"/>
          <w:lang w:val="en-US"/>
        </w:rPr>
        <w:t>Genetic Contributor</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_Toc233678248 \h </w:instrText>
      </w:r>
      <w:r>
        <w:rPr>
          <w:rFonts w:ascii="Times New Roman" w:cs="Times New Roman" w:hAnsi="Times New Roman"/>
        </w:rPr>
        <w:fldChar w:fldCharType="separate"/>
      </w:r>
      <w:r>
        <w:rPr>
          <w:rFonts w:ascii="Times New Roman" w:cs="Times New Roman" w:hAnsi="Times New Roman"/>
        </w:rPr>
        <w:t>41</w:t>
      </w:r>
      <w:r>
        <w:rPr>
          <w:rFonts w:ascii="Times New Roman" w:cs="Times New Roman" w:hAnsi="Times New Roman"/>
        </w:rPr>
        <w:fldChar w:fldCharType="end"/>
      </w:r>
      <w:r>
        <w:rPr>
          <w:rFonts w:ascii="Times New Roman" w:cs="Times New Roman" w:hAnsi="Times New Roman"/>
        </w:rPr>
        <w:fldChar w:fldCharType="end"/>
      </w:r>
    </w:p>
    <w:p w14:paraId="438E5F15">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"_Toc233678249" </w:instrText>
      </w:r>
      <w:r>
        <w:rPr/>
        <w:fldChar w:fldCharType="separate"/>
      </w:r>
      <w:r>
        <w:rPr>
          <w:rStyle w:val="style85"/>
          <w:rFonts w:ascii="Times New Roman" w:cs="Times New Roman" w:hAnsi="Times New Roman"/>
          <w:lang w:val="en-US"/>
        </w:rPr>
        <w:t xml:space="preserve">2.7.7 </w:t>
      </w:r>
      <w:r>
        <w:rPr>
          <w:rFonts w:ascii="Times New Roman" w:cs="Times New Roman" w:eastAsia="等线" w:hAnsi="Times New Roman"/>
          <w:lang w:val="en-US"/>
        </w:rPr>
        <w:tab/>
      </w:r>
      <w:r>
        <w:rPr>
          <w:rStyle w:val="style85"/>
          <w:rFonts w:ascii="Times New Roman" w:cs="Times New Roman" w:hAnsi="Times New Roman"/>
          <w:bCs/>
        </w:rPr>
        <w:t>Embryos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_Toc233678249 \h </w:instrText>
      </w:r>
      <w:r>
        <w:rPr>
          <w:rFonts w:ascii="Times New Roman" w:cs="Times New Roman" w:hAnsi="Times New Roman"/>
        </w:rPr>
        <w:fldChar w:fldCharType="separate"/>
      </w:r>
      <w:r>
        <w:rPr>
          <w:rFonts w:ascii="Times New Roman" w:cs="Times New Roman" w:hAnsi="Times New Roman"/>
        </w:rPr>
        <w:t>41</w:t>
      </w:r>
      <w:r>
        <w:rPr>
          <w:rFonts w:ascii="Times New Roman" w:cs="Times New Roman" w:hAnsi="Times New Roman"/>
        </w:rPr>
        <w:fldChar w:fldCharType="end"/>
      </w:r>
      <w:r>
        <w:rPr>
          <w:rFonts w:ascii="Times New Roman" w:cs="Times New Roman" w:hAnsi="Times New Roman"/>
        </w:rPr>
        <w:fldChar w:fldCharType="end"/>
      </w:r>
    </w:p>
    <w:p w14:paraId="1645734E">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"_Toc233678250" </w:instrText>
      </w:r>
      <w:r>
        <w:rPr/>
        <w:fldChar w:fldCharType="separate"/>
      </w:r>
      <w:r>
        <w:rPr>
          <w:rStyle w:val="style85"/>
          <w:rFonts w:ascii="Times New Roman" w:cs="Times New Roman" w:hAnsi="Times New Roman"/>
          <w:lang w:val="en-US"/>
        </w:rPr>
        <w:t xml:space="preserve">2.7.8 </w:t>
      </w:r>
      <w:r>
        <w:rPr>
          <w:rFonts w:ascii="Times New Roman" w:cs="Times New Roman" w:eastAsia="等线" w:hAnsi="Times New Roman"/>
          <w:lang w:val="en-US"/>
        </w:rPr>
        <w:tab/>
      </w:r>
      <w:r>
        <w:rPr>
          <w:rStyle w:val="style85"/>
          <w:rFonts w:ascii="Times New Roman" w:cs="Times New Roman" w:hAnsi="Times New Roman"/>
        </w:rPr>
        <w:t>Posthumous Reproduction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_Toc233678250 \h </w:instrText>
      </w:r>
      <w:r>
        <w:rPr>
          <w:rFonts w:ascii="Times New Roman" w:cs="Times New Roman" w:hAnsi="Times New Roman"/>
        </w:rPr>
        <w:fldChar w:fldCharType="separate"/>
      </w:r>
      <w:r>
        <w:rPr>
          <w:rFonts w:ascii="Times New Roman" w:cs="Times New Roman" w:hAnsi="Times New Roman"/>
        </w:rPr>
        <w:t>41</w:t>
      </w:r>
      <w:r>
        <w:rPr>
          <w:rFonts w:ascii="Times New Roman" w:cs="Times New Roman" w:hAnsi="Times New Roman"/>
        </w:rPr>
        <w:fldChar w:fldCharType="end"/>
      </w:r>
      <w:r>
        <w:rPr>
          <w:rFonts w:ascii="Times New Roman" w:cs="Times New Roman" w:hAnsi="Times New Roman"/>
        </w:rPr>
        <w:fldChar w:fldCharType="end"/>
      </w:r>
    </w:p>
    <w:p w14:paraId="5E005247">
      <w:pPr>
        <w:pStyle w:val="style21"/>
        <w:tabs>
          <w:tab w:val="right" w:leader="dot" w:pos="9017"/>
        </w:tabs>
        <w:rPr>
          <w:rFonts w:ascii="Times New Roman" w:cs="Times New Roman" w:eastAsia="等线" w:hAnsi="Times New Roman"/>
          <w:lang w:val="en-US"/>
        </w:rPr>
      </w:pPr>
      <w:r>
        <w:rPr/>
        <w:fldChar w:fldCharType="begin"/>
      </w:r>
      <w:r>
        <w:instrText xml:space="preserve"> HYPERLINK \l "_Toc233678251" </w:instrText>
      </w:r>
      <w:r>
        <w:rPr/>
        <w:fldChar w:fldCharType="separate"/>
      </w:r>
      <w:r>
        <w:rPr>
          <w:rStyle w:val="style85"/>
          <w:rFonts w:ascii="Times New Roman" w:cs="Times New Roman" w:hAnsi="Times New Roman"/>
          <w:lang w:val="en-US"/>
        </w:rPr>
        <w:t xml:space="preserve">2.7.9  </w:t>
      </w:r>
      <w:r>
        <w:rPr>
          <w:rStyle w:val="style85"/>
          <w:rFonts w:ascii="Times New Roman" w:cs="Times New Roman" w:hAnsi="Times New Roman"/>
        </w:rPr>
        <w:t>Genetic Motherhood</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_Toc233678251 \h </w:instrText>
      </w:r>
      <w:r>
        <w:rPr>
          <w:rFonts w:ascii="Times New Roman" w:cs="Times New Roman" w:hAnsi="Times New Roman"/>
        </w:rPr>
        <w:fldChar w:fldCharType="separate"/>
      </w:r>
      <w:r>
        <w:rPr>
          <w:rFonts w:ascii="Times New Roman" w:cs="Times New Roman" w:hAnsi="Times New Roman"/>
        </w:rPr>
        <w:t>42</w:t>
      </w:r>
      <w:r>
        <w:rPr>
          <w:rFonts w:ascii="Times New Roman" w:cs="Times New Roman" w:hAnsi="Times New Roman"/>
        </w:rPr>
        <w:fldChar w:fldCharType="end"/>
      </w:r>
      <w:r>
        <w:rPr>
          <w:rFonts w:ascii="Times New Roman" w:cs="Times New Roman" w:hAnsi="Times New Roman"/>
        </w:rPr>
        <w:fldChar w:fldCharType="end"/>
      </w:r>
    </w:p>
    <w:p w14:paraId="23BE0F04">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"_Toc233678252" </w:instrText>
      </w:r>
      <w:r>
        <w:rPr/>
        <w:fldChar w:fldCharType="separate"/>
      </w:r>
      <w:r>
        <w:rPr>
          <w:rStyle w:val="style85"/>
          <w:rFonts w:ascii="Times New Roman" w:cs="Times New Roman" w:hAnsi="Times New Roman"/>
          <w:lang w:val="en-US"/>
        </w:rPr>
        <w:t xml:space="preserve">2.7.10 </w:t>
      </w:r>
      <w:r>
        <w:rPr>
          <w:rFonts w:ascii="Times New Roman" w:cs="Times New Roman" w:eastAsia="等线" w:hAnsi="Times New Roman"/>
          <w:lang w:val="en-US"/>
        </w:rPr>
        <w:tab/>
      </w:r>
      <w:r>
        <w:rPr>
          <w:rStyle w:val="style85"/>
          <w:rFonts w:ascii="Times New Roman" w:cs="Times New Roman" w:hAnsi="Times New Roman"/>
        </w:rPr>
        <w:t>Gestational Motherhood</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_Toc233678252 \h </w:instrText>
      </w:r>
      <w:r>
        <w:rPr>
          <w:rFonts w:ascii="Times New Roman" w:cs="Times New Roman" w:hAnsi="Times New Roman"/>
        </w:rPr>
        <w:fldChar w:fldCharType="separate"/>
      </w:r>
      <w:r>
        <w:rPr>
          <w:rFonts w:ascii="Times New Roman" w:cs="Times New Roman" w:hAnsi="Times New Roman"/>
        </w:rPr>
        <w:t>42</w:t>
      </w:r>
      <w:r>
        <w:rPr>
          <w:rFonts w:ascii="Times New Roman" w:cs="Times New Roman" w:hAnsi="Times New Roman"/>
        </w:rPr>
        <w:fldChar w:fldCharType="end"/>
      </w:r>
      <w:r>
        <w:rPr>
          <w:rFonts w:ascii="Times New Roman" w:cs="Times New Roman" w:hAnsi="Times New Roman"/>
        </w:rPr>
        <w:fldChar w:fldCharType="end"/>
      </w:r>
    </w:p>
    <w:p w14:paraId="3D31BDB8">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"_Toc233678253" </w:instrText>
      </w:r>
      <w:r>
        <w:rPr/>
        <w:fldChar w:fldCharType="separate"/>
      </w:r>
      <w:r>
        <w:rPr>
          <w:rStyle w:val="style85"/>
          <w:rFonts w:ascii="Times New Roman" w:cs="Times New Roman" w:hAnsi="Times New Roman"/>
        </w:rPr>
        <w:t xml:space="preserve">2.7.11 </w:t>
      </w:r>
      <w:r>
        <w:rPr>
          <w:rFonts w:ascii="Times New Roman" w:cs="Times New Roman" w:eastAsia="等线" w:hAnsi="Times New Roman"/>
          <w:lang w:val="en-US"/>
        </w:rPr>
        <w:tab/>
      </w:r>
      <w:r>
        <w:rPr>
          <w:rStyle w:val="style85"/>
          <w:rFonts w:ascii="Times New Roman" w:cs="Times New Roman" w:hAnsi="Times New Roman"/>
        </w:rPr>
        <w:t>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_Toc233678253 \h </w:instrText>
      </w:r>
      <w:r>
        <w:rPr>
          <w:rFonts w:ascii="Times New Roman" w:cs="Times New Roman" w:hAnsi="Times New Roman"/>
        </w:rPr>
        <w:fldChar w:fldCharType="separate"/>
      </w:r>
      <w:r>
        <w:rPr>
          <w:rFonts w:ascii="Times New Roman" w:cs="Times New Roman" w:hAnsi="Times New Roman"/>
        </w:rPr>
        <w:t>42</w:t>
      </w:r>
      <w:r>
        <w:rPr>
          <w:rFonts w:ascii="Times New Roman" w:cs="Times New Roman" w:hAnsi="Times New Roman"/>
        </w:rPr>
        <w:fldChar w:fldCharType="end"/>
      </w:r>
      <w:r>
        <w:rPr>
          <w:rFonts w:ascii="Times New Roman" w:cs="Times New Roman" w:hAnsi="Times New Roman"/>
        </w:rPr>
        <w:fldChar w:fldCharType="end"/>
      </w:r>
    </w:p>
    <w:p w14:paraId="288B9F97">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"_Toc233678254" </w:instrText>
      </w:r>
      <w:r>
        <w:rPr/>
        <w:fldChar w:fldCharType="separate"/>
      </w:r>
      <w:r>
        <w:rPr>
          <w:rStyle w:val="style85"/>
          <w:rFonts w:ascii="Times New Roman" w:cs="Times New Roman" w:hAnsi="Times New Roman"/>
        </w:rPr>
        <w:t xml:space="preserve">2.7.12 </w:t>
      </w:r>
      <w:r>
        <w:rPr>
          <w:rFonts w:ascii="Times New Roman" w:cs="Times New Roman" w:eastAsia="等线" w:hAnsi="Times New Roman"/>
          <w:lang w:val="en-US"/>
        </w:rPr>
        <w:tab/>
      </w:r>
      <w:r>
        <w:rPr>
          <w:rStyle w:val="style85"/>
          <w:rFonts w:ascii="Times New Roman" w:cs="Times New Roman" w:hAnsi="Times New Roman"/>
        </w:rPr>
        <w:t>Traditional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_Toc233678254 \h </w:instrText>
      </w:r>
      <w:r>
        <w:rPr>
          <w:rFonts w:ascii="Times New Roman" w:cs="Times New Roman" w:hAnsi="Times New Roman"/>
        </w:rPr>
        <w:fldChar w:fldCharType="separate"/>
      </w:r>
      <w:r>
        <w:rPr>
          <w:rFonts w:ascii="Times New Roman" w:cs="Times New Roman" w:hAnsi="Times New Roman"/>
        </w:rPr>
        <w:t>43</w:t>
      </w:r>
      <w:r>
        <w:rPr>
          <w:rFonts w:ascii="Times New Roman" w:cs="Times New Roman" w:hAnsi="Times New Roman"/>
        </w:rPr>
        <w:fldChar w:fldCharType="end"/>
      </w:r>
      <w:r>
        <w:rPr>
          <w:rFonts w:ascii="Times New Roman" w:cs="Times New Roman" w:hAnsi="Times New Roman"/>
        </w:rPr>
        <w:fldChar w:fldCharType="end"/>
      </w:r>
    </w:p>
    <w:p w14:paraId="56804881">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"_Toc233678255" </w:instrText>
      </w:r>
      <w:r>
        <w:rPr/>
        <w:fldChar w:fldCharType="separate"/>
      </w:r>
      <w:r>
        <w:rPr>
          <w:rStyle w:val="style85"/>
          <w:rFonts w:ascii="Times New Roman" w:cs="Times New Roman" w:hAnsi="Times New Roman"/>
        </w:rPr>
        <w:t xml:space="preserve">2.7.13 </w:t>
      </w:r>
      <w:r>
        <w:rPr>
          <w:rFonts w:ascii="Times New Roman" w:cs="Times New Roman" w:eastAsia="等线" w:hAnsi="Times New Roman"/>
          <w:lang w:val="en-US"/>
        </w:rPr>
        <w:tab/>
      </w:r>
      <w:r>
        <w:rPr>
          <w:rStyle w:val="style85"/>
          <w:rFonts w:ascii="Times New Roman" w:cs="Times New Roman" w:hAnsi="Times New Roman"/>
        </w:rPr>
        <w:t>Gestational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_Toc233678255 \h </w:instrText>
      </w:r>
      <w:r>
        <w:rPr>
          <w:rFonts w:ascii="Times New Roman" w:cs="Times New Roman" w:hAnsi="Times New Roman"/>
        </w:rPr>
        <w:fldChar w:fldCharType="separate"/>
      </w:r>
      <w:r>
        <w:rPr>
          <w:rFonts w:ascii="Times New Roman" w:cs="Times New Roman" w:hAnsi="Times New Roman"/>
        </w:rPr>
        <w:t>43</w:t>
      </w:r>
      <w:r>
        <w:rPr>
          <w:rFonts w:ascii="Times New Roman" w:cs="Times New Roman" w:hAnsi="Times New Roman"/>
        </w:rPr>
        <w:fldChar w:fldCharType="end"/>
      </w:r>
      <w:r>
        <w:rPr>
          <w:rFonts w:ascii="Times New Roman" w:cs="Times New Roman" w:hAnsi="Times New Roman"/>
        </w:rPr>
        <w:fldChar w:fldCharType="end"/>
      </w:r>
    </w:p>
    <w:p w14:paraId="023ED557">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"_Toc233678256" </w:instrText>
      </w:r>
      <w:r>
        <w:rPr/>
        <w:fldChar w:fldCharType="separate"/>
      </w:r>
      <w:r>
        <w:rPr>
          <w:rStyle w:val="style85"/>
          <w:rFonts w:ascii="Times New Roman" w:cs="Times New Roman" w:hAnsi="Times New Roman"/>
        </w:rPr>
        <w:t xml:space="preserve">2.7.14 </w:t>
      </w:r>
      <w:r>
        <w:rPr>
          <w:rFonts w:ascii="Times New Roman" w:cs="Times New Roman" w:eastAsia="等线" w:hAnsi="Times New Roman"/>
          <w:lang w:val="en-US"/>
        </w:rPr>
        <w:tab/>
      </w:r>
      <w:r>
        <w:rPr>
          <w:rStyle w:val="style85"/>
          <w:rFonts w:ascii="Times New Roman" w:cs="Times New Roman" w:hAnsi="Times New Roman"/>
        </w:rPr>
        <w:t>Altruistic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_Toc233678256 \h </w:instrText>
      </w:r>
      <w:r>
        <w:rPr>
          <w:rFonts w:ascii="Times New Roman" w:cs="Times New Roman" w:hAnsi="Times New Roman"/>
        </w:rPr>
        <w:fldChar w:fldCharType="separate"/>
      </w:r>
      <w:r>
        <w:rPr>
          <w:rFonts w:ascii="Times New Roman" w:cs="Times New Roman" w:hAnsi="Times New Roman"/>
        </w:rPr>
        <w:t>43</w:t>
      </w:r>
      <w:r>
        <w:rPr>
          <w:rFonts w:ascii="Times New Roman" w:cs="Times New Roman" w:hAnsi="Times New Roman"/>
        </w:rPr>
        <w:fldChar w:fldCharType="end"/>
      </w:r>
      <w:r>
        <w:rPr>
          <w:rFonts w:ascii="Times New Roman" w:cs="Times New Roman" w:hAnsi="Times New Roman"/>
        </w:rPr>
        <w:fldChar w:fldCharType="end"/>
      </w:r>
    </w:p>
    <w:p w14:paraId="40FBCC24">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"_Toc233678257" </w:instrText>
      </w:r>
      <w:r>
        <w:rPr/>
        <w:fldChar w:fldCharType="separate"/>
      </w:r>
      <w:r>
        <w:rPr>
          <w:rStyle w:val="style85"/>
          <w:rFonts w:ascii="Times New Roman" w:cs="Times New Roman" w:hAnsi="Times New Roman"/>
        </w:rPr>
        <w:t xml:space="preserve">2.7.15 </w:t>
      </w:r>
      <w:r>
        <w:rPr>
          <w:rFonts w:ascii="Times New Roman" w:cs="Times New Roman" w:eastAsia="等线" w:hAnsi="Times New Roman"/>
          <w:lang w:val="en-US"/>
        </w:rPr>
        <w:tab/>
      </w:r>
      <w:r>
        <w:rPr>
          <w:rStyle w:val="style85"/>
          <w:rFonts w:ascii="Times New Roman" w:cs="Times New Roman" w:hAnsi="Times New Roman"/>
        </w:rPr>
        <w:t>Commercial Surrogacy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_Toc233678257 \h </w:instrText>
      </w:r>
      <w:r>
        <w:rPr>
          <w:rFonts w:ascii="Times New Roman" w:cs="Times New Roman" w:hAnsi="Times New Roman"/>
        </w:rPr>
        <w:fldChar w:fldCharType="separate"/>
      </w:r>
      <w:r>
        <w:rPr>
          <w:rFonts w:ascii="Times New Roman" w:cs="Times New Roman" w:hAnsi="Times New Roman"/>
        </w:rPr>
        <w:t>44</w:t>
      </w:r>
      <w:r>
        <w:rPr>
          <w:rFonts w:ascii="Times New Roman" w:cs="Times New Roman" w:hAnsi="Times New Roman"/>
        </w:rPr>
        <w:fldChar w:fldCharType="end"/>
      </w:r>
      <w:r>
        <w:rPr>
          <w:rFonts w:ascii="Times New Roman" w:cs="Times New Roman" w:hAnsi="Times New Roman"/>
        </w:rPr>
        <w:fldChar w:fldCharType="end"/>
      </w:r>
    </w:p>
    <w:p w14:paraId="470CFA48">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"_Toc233678258" </w:instrText>
      </w:r>
      <w:r>
        <w:rPr/>
        <w:fldChar w:fldCharType="separate"/>
      </w:r>
      <w:r>
        <w:rPr>
          <w:rStyle w:val="style85"/>
          <w:rFonts w:ascii="Times New Roman" w:cs="Times New Roman" w:hAnsi="Times New Roman"/>
          <w:bCs/>
        </w:rPr>
        <w:t xml:space="preserve">2.8 </w:t>
      </w:r>
      <w:r>
        <w:rPr>
          <w:rFonts w:ascii="Times New Roman" w:cs="Times New Roman" w:eastAsia="等线" w:hAnsi="Times New Roman"/>
          <w:lang w:val="en-US"/>
        </w:rPr>
        <w:tab/>
      </w:r>
      <w:r>
        <w:rPr>
          <w:rStyle w:val="style85"/>
          <w:rFonts w:ascii="Times New Roman" w:cs="Times New Roman" w:hAnsi="Times New Roman"/>
        </w:rPr>
        <w:t>Parties Involved in Surrogacy and ART Arrangements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_Toc233678258 \h </w:instrText>
      </w:r>
      <w:r>
        <w:rPr>
          <w:rFonts w:ascii="Times New Roman" w:cs="Times New Roman" w:hAnsi="Times New Roman"/>
        </w:rPr>
        <w:fldChar w:fldCharType="separate"/>
      </w:r>
      <w:r>
        <w:rPr>
          <w:rFonts w:ascii="Times New Roman" w:cs="Times New Roman" w:hAnsi="Times New Roman"/>
        </w:rPr>
        <w:t>44</w:t>
      </w:r>
      <w:r>
        <w:rPr>
          <w:rFonts w:ascii="Times New Roman" w:cs="Times New Roman" w:hAnsi="Times New Roman"/>
        </w:rPr>
        <w:fldChar w:fldCharType="end"/>
      </w:r>
      <w:r>
        <w:rPr>
          <w:rFonts w:ascii="Times New Roman" w:cs="Times New Roman" w:hAnsi="Times New Roman"/>
        </w:rPr>
        <w:fldChar w:fldCharType="end"/>
      </w:r>
    </w:p>
    <w:p w14:paraId="14978643">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"_Toc233678259"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8</w:t>
      </w:r>
      <w:r>
        <w:rPr>
          <w:rStyle w:val="style85"/>
          <w:rFonts w:ascii="Times New Roman" w:cs="Times New Roman" w:hAnsi="Times New Roman"/>
        </w:rPr>
        <w:t xml:space="preserve">.1 </w:t>
      </w:r>
      <w:r>
        <w:rPr>
          <w:rFonts w:ascii="Times New Roman" w:cs="Times New Roman" w:eastAsia="等线" w:hAnsi="Times New Roman"/>
          <w:lang w:val="en-US"/>
        </w:rPr>
        <w:tab/>
      </w:r>
      <w:r>
        <w:rPr>
          <w:rStyle w:val="style85"/>
          <w:rFonts w:ascii="Times New Roman" w:cs="Times New Roman" w:hAnsi="Times New Roman"/>
        </w:rPr>
        <w:t>Intended Parents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_Toc233678259 \h </w:instrText>
      </w:r>
      <w:r>
        <w:rPr>
          <w:rFonts w:ascii="Times New Roman" w:cs="Times New Roman" w:hAnsi="Times New Roman"/>
        </w:rPr>
        <w:fldChar w:fldCharType="separate"/>
      </w:r>
      <w:r>
        <w:rPr>
          <w:rFonts w:ascii="Times New Roman" w:cs="Times New Roman" w:hAnsi="Times New Roman"/>
        </w:rPr>
        <w:t>44</w:t>
      </w:r>
      <w:r>
        <w:rPr>
          <w:rFonts w:ascii="Times New Roman" w:cs="Times New Roman" w:hAnsi="Times New Roman"/>
        </w:rPr>
        <w:fldChar w:fldCharType="end"/>
      </w:r>
      <w:r>
        <w:rPr>
          <w:rFonts w:ascii="Times New Roman" w:cs="Times New Roman" w:hAnsi="Times New Roman"/>
        </w:rPr>
        <w:fldChar w:fldCharType="end"/>
      </w:r>
    </w:p>
    <w:p w14:paraId="606C240B">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"_Toc233678260"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8</w:t>
      </w:r>
      <w:r>
        <w:rPr>
          <w:rStyle w:val="style85"/>
          <w:rFonts w:ascii="Times New Roman" w:cs="Times New Roman" w:hAnsi="Times New Roman"/>
        </w:rPr>
        <w:t xml:space="preserve">.2 </w:t>
      </w:r>
      <w:r>
        <w:rPr>
          <w:rFonts w:ascii="Times New Roman" w:cs="Times New Roman" w:eastAsia="等线" w:hAnsi="Times New Roman"/>
          <w:lang w:val="en-US"/>
        </w:rPr>
        <w:tab/>
      </w:r>
      <w:r>
        <w:rPr>
          <w:rStyle w:val="style85"/>
          <w:rFonts w:ascii="Times New Roman" w:cs="Times New Roman" w:hAnsi="Times New Roman"/>
        </w:rPr>
        <w:t>Surrogate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_Toc233678260 \h </w:instrText>
      </w:r>
      <w:r>
        <w:rPr>
          <w:rFonts w:ascii="Times New Roman" w:cs="Times New Roman" w:hAnsi="Times New Roman"/>
        </w:rPr>
        <w:fldChar w:fldCharType="separate"/>
      </w:r>
      <w:r>
        <w:rPr>
          <w:rFonts w:ascii="Times New Roman" w:cs="Times New Roman" w:hAnsi="Times New Roman"/>
        </w:rPr>
        <w:t>44</w:t>
      </w:r>
      <w:r>
        <w:rPr>
          <w:rFonts w:ascii="Times New Roman" w:cs="Times New Roman" w:hAnsi="Times New Roman"/>
        </w:rPr>
        <w:fldChar w:fldCharType="end"/>
      </w:r>
      <w:r>
        <w:rPr>
          <w:rFonts w:ascii="Times New Roman" w:cs="Times New Roman" w:hAnsi="Times New Roman"/>
        </w:rPr>
        <w:fldChar w:fldCharType="end"/>
      </w:r>
    </w:p>
    <w:p w14:paraId="5E5D42A9">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"_Toc233678261"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8</w:t>
      </w:r>
      <w:r>
        <w:rPr>
          <w:rStyle w:val="style85"/>
          <w:rFonts w:ascii="Times New Roman" w:cs="Times New Roman" w:hAnsi="Times New Roman"/>
        </w:rPr>
        <w:t xml:space="preserve">.3 </w:t>
      </w:r>
      <w:r>
        <w:rPr>
          <w:rFonts w:ascii="Times New Roman" w:cs="Times New Roman" w:eastAsia="等线" w:hAnsi="Times New Roman"/>
          <w:lang w:val="en-US"/>
        </w:rPr>
        <w:tab/>
      </w:r>
      <w:r>
        <w:rPr>
          <w:rStyle w:val="style85"/>
          <w:rFonts w:ascii="Times New Roman" w:cs="Times New Roman" w:hAnsi="Times New Roman"/>
        </w:rPr>
        <w:t>Gamete Donors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_Toc233678261 \h </w:instrText>
      </w:r>
      <w:r>
        <w:rPr>
          <w:rFonts w:ascii="Times New Roman" w:cs="Times New Roman" w:hAnsi="Times New Roman"/>
        </w:rPr>
        <w:fldChar w:fldCharType="separate"/>
      </w:r>
      <w:r>
        <w:rPr>
          <w:rFonts w:ascii="Times New Roman" w:cs="Times New Roman" w:hAnsi="Times New Roman"/>
        </w:rPr>
        <w:t>45</w:t>
      </w:r>
      <w:r>
        <w:rPr>
          <w:rFonts w:ascii="Times New Roman" w:cs="Times New Roman" w:hAnsi="Times New Roman"/>
        </w:rPr>
        <w:fldChar w:fldCharType="end"/>
      </w:r>
      <w:r>
        <w:rPr>
          <w:rFonts w:ascii="Times New Roman" w:cs="Times New Roman" w:hAnsi="Times New Roman"/>
        </w:rPr>
        <w:fldChar w:fldCharType="end"/>
      </w:r>
    </w:p>
    <w:p w14:paraId="59277F0D">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"_Toc233678262"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8</w:t>
      </w:r>
      <w:r>
        <w:rPr>
          <w:rStyle w:val="style85"/>
          <w:rFonts w:ascii="Times New Roman" w:cs="Times New Roman" w:hAnsi="Times New Roman"/>
        </w:rPr>
        <w:t xml:space="preserve">.4 </w:t>
      </w:r>
      <w:r>
        <w:rPr>
          <w:rFonts w:ascii="Times New Roman" w:cs="Times New Roman" w:eastAsia="等线" w:hAnsi="Times New Roman"/>
          <w:lang w:val="en-US"/>
        </w:rPr>
        <w:tab/>
      </w:r>
      <w:r>
        <w:rPr>
          <w:rStyle w:val="style85"/>
          <w:rFonts w:ascii="Times New Roman" w:cs="Times New Roman" w:hAnsi="Times New Roman"/>
        </w:rPr>
        <w:t>Medical Practitioners / Fertility Clinics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_Toc233678262 \h </w:instrText>
      </w:r>
      <w:r>
        <w:rPr>
          <w:rFonts w:ascii="Times New Roman" w:cs="Times New Roman" w:hAnsi="Times New Roman"/>
        </w:rPr>
        <w:fldChar w:fldCharType="separate"/>
      </w:r>
      <w:r>
        <w:rPr>
          <w:rFonts w:ascii="Times New Roman" w:cs="Times New Roman" w:hAnsi="Times New Roman"/>
        </w:rPr>
        <w:t>45</w:t>
      </w:r>
      <w:r>
        <w:rPr>
          <w:rFonts w:ascii="Times New Roman" w:cs="Times New Roman" w:hAnsi="Times New Roman"/>
        </w:rPr>
        <w:fldChar w:fldCharType="end"/>
      </w:r>
      <w:r>
        <w:rPr>
          <w:rFonts w:ascii="Times New Roman" w:cs="Times New Roman" w:hAnsi="Times New Roman"/>
        </w:rPr>
        <w:fldChar w:fldCharType="end"/>
      </w:r>
    </w:p>
    <w:p w14:paraId="708FAD77">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"_Toc233678263"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8</w:t>
      </w:r>
      <w:r>
        <w:rPr>
          <w:rStyle w:val="style85"/>
          <w:rFonts w:ascii="Times New Roman" w:cs="Times New Roman" w:hAnsi="Times New Roman"/>
        </w:rPr>
        <w:t xml:space="preserve">.5 </w:t>
      </w:r>
      <w:r>
        <w:rPr>
          <w:rFonts w:ascii="Times New Roman" w:cs="Times New Roman" w:eastAsia="等线" w:hAnsi="Times New Roman"/>
          <w:lang w:val="en-US"/>
        </w:rPr>
        <w:tab/>
      </w:r>
      <w:r>
        <w:rPr>
          <w:rStyle w:val="style85"/>
          <w:rFonts w:ascii="Times New Roman" w:cs="Times New Roman" w:hAnsi="Times New Roman"/>
        </w:rPr>
        <w:t>The Child</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_Toc233678263 \h </w:instrText>
      </w:r>
      <w:r>
        <w:rPr>
          <w:rFonts w:ascii="Times New Roman" w:cs="Times New Roman" w:hAnsi="Times New Roman"/>
        </w:rPr>
        <w:fldChar w:fldCharType="separate"/>
      </w:r>
      <w:r>
        <w:rPr>
          <w:rFonts w:ascii="Times New Roman" w:cs="Times New Roman" w:hAnsi="Times New Roman"/>
        </w:rPr>
        <w:t>46</w:t>
      </w:r>
      <w:r>
        <w:rPr>
          <w:rFonts w:ascii="Times New Roman" w:cs="Times New Roman" w:hAnsi="Times New Roman"/>
        </w:rPr>
        <w:fldChar w:fldCharType="end"/>
      </w:r>
      <w:r>
        <w:rPr>
          <w:rFonts w:ascii="Times New Roman" w:cs="Times New Roman" w:hAnsi="Times New Roman"/>
        </w:rPr>
        <w:fldChar w:fldCharType="end"/>
      </w:r>
    </w:p>
    <w:p w14:paraId="2A5AD6A0">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"_Toc233678264" </w:instrText>
      </w:r>
      <w:r>
        <w:rPr/>
        <w:fldChar w:fldCharType="separate"/>
      </w:r>
      <w:r>
        <w:rPr>
          <w:rStyle w:val="style85"/>
          <w:rFonts w:ascii="Times New Roman" w:cs="Times New Roman" w:hAnsi="Times New Roman"/>
          <w:lang w:val="en-US"/>
        </w:rPr>
        <w:t>2.9</w:t>
      </w:r>
      <w:r>
        <w:rPr>
          <w:rFonts w:ascii="Times New Roman" w:cs="Times New Roman" w:eastAsia="等线" w:hAnsi="Times New Roman"/>
          <w:lang w:val="en-US"/>
        </w:rPr>
        <w:tab/>
      </w:r>
      <w:r>
        <w:rPr>
          <w:rStyle w:val="style85"/>
          <w:rFonts w:ascii="Times New Roman" w:cs="Times New Roman" w:hAnsi="Times New Roman"/>
        </w:rPr>
        <w:t>Theoretical Framework</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_Toc233678264 \h </w:instrText>
      </w:r>
      <w:r>
        <w:rPr>
          <w:rFonts w:ascii="Times New Roman" w:cs="Times New Roman" w:hAnsi="Times New Roman"/>
        </w:rPr>
        <w:fldChar w:fldCharType="separate"/>
      </w:r>
      <w:r>
        <w:rPr>
          <w:rFonts w:ascii="Times New Roman" w:cs="Times New Roman" w:hAnsi="Times New Roman"/>
        </w:rPr>
        <w:t>46</w:t>
      </w:r>
      <w:r>
        <w:rPr>
          <w:rFonts w:ascii="Times New Roman" w:cs="Times New Roman" w:hAnsi="Times New Roman"/>
        </w:rPr>
        <w:fldChar w:fldCharType="end"/>
      </w:r>
      <w:r>
        <w:rPr>
          <w:rFonts w:ascii="Times New Roman" w:cs="Times New Roman" w:hAnsi="Times New Roman"/>
        </w:rPr>
        <w:fldChar w:fldCharType="end"/>
      </w:r>
    </w:p>
    <w:p w14:paraId="11246E80">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"_Toc233678265"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9</w:t>
      </w:r>
      <w:r>
        <w:rPr>
          <w:rStyle w:val="style85"/>
          <w:rFonts w:ascii="Times New Roman" w:cs="Times New Roman" w:hAnsi="Times New Roman"/>
        </w:rPr>
        <w:t xml:space="preserve">.1 </w:t>
      </w:r>
      <w:r>
        <w:rPr>
          <w:rFonts w:ascii="Times New Roman" w:cs="Times New Roman" w:eastAsia="等线" w:hAnsi="Times New Roman"/>
          <w:lang w:val="en-US"/>
        </w:rPr>
        <w:tab/>
      </w:r>
      <w:r>
        <w:rPr>
          <w:rStyle w:val="style85"/>
          <w:rFonts w:ascii="Times New Roman" w:cs="Times New Roman" w:hAnsi="Times New Roman"/>
        </w:rPr>
        <w:t>Natural Law Theory</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_Toc233678265 \h </w:instrText>
      </w:r>
      <w:r>
        <w:rPr>
          <w:rFonts w:ascii="Times New Roman" w:cs="Times New Roman" w:hAnsi="Times New Roman"/>
        </w:rPr>
        <w:fldChar w:fldCharType="separate"/>
      </w:r>
      <w:r>
        <w:rPr>
          <w:rFonts w:ascii="Times New Roman" w:cs="Times New Roman" w:hAnsi="Times New Roman"/>
        </w:rPr>
        <w:t>46</w:t>
      </w:r>
      <w:r>
        <w:rPr>
          <w:rFonts w:ascii="Times New Roman" w:cs="Times New Roman" w:hAnsi="Times New Roman"/>
        </w:rPr>
        <w:fldChar w:fldCharType="end"/>
      </w:r>
      <w:r>
        <w:rPr>
          <w:rFonts w:ascii="Times New Roman" w:cs="Times New Roman" w:hAnsi="Times New Roman"/>
        </w:rPr>
        <w:fldChar w:fldCharType="end"/>
      </w:r>
    </w:p>
    <w:p w14:paraId="7E65EA68">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"_Toc233678266"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9</w:t>
      </w:r>
      <w:r>
        <w:rPr>
          <w:rStyle w:val="style85"/>
          <w:rFonts w:ascii="Times New Roman" w:cs="Times New Roman" w:hAnsi="Times New Roman"/>
        </w:rPr>
        <w:t>.2</w:t>
      </w:r>
      <w:r>
        <w:rPr>
          <w:rFonts w:ascii="Times New Roman" w:cs="Times New Roman" w:eastAsia="等线" w:hAnsi="Times New Roman"/>
          <w:lang w:val="en-US"/>
        </w:rPr>
        <w:tab/>
      </w:r>
      <w:r>
        <w:rPr>
          <w:rStyle w:val="style85"/>
          <w:rFonts w:ascii="Times New Roman" w:cs="Times New Roman" w:hAnsi="Times New Roman"/>
        </w:rPr>
        <w:t>Legal Positivism</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_Toc233678266 \h </w:instrText>
      </w:r>
      <w:r>
        <w:rPr>
          <w:rFonts w:ascii="Times New Roman" w:cs="Times New Roman" w:hAnsi="Times New Roman"/>
        </w:rPr>
        <w:fldChar w:fldCharType="separate"/>
      </w:r>
      <w:r>
        <w:rPr>
          <w:rFonts w:ascii="Times New Roman" w:cs="Times New Roman" w:hAnsi="Times New Roman"/>
        </w:rPr>
        <w:t>48</w:t>
      </w:r>
      <w:r>
        <w:rPr>
          <w:rFonts w:ascii="Times New Roman" w:cs="Times New Roman" w:hAnsi="Times New Roman"/>
        </w:rPr>
        <w:fldChar w:fldCharType="end"/>
      </w:r>
      <w:r>
        <w:rPr>
          <w:rFonts w:ascii="Times New Roman" w:cs="Times New Roman" w:hAnsi="Times New Roman"/>
        </w:rPr>
        <w:fldChar w:fldCharType="end"/>
      </w:r>
    </w:p>
    <w:p w14:paraId="2C558ADA">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"_Toc233678267"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9</w:t>
      </w:r>
      <w:r>
        <w:rPr>
          <w:rStyle w:val="style85"/>
          <w:rFonts w:ascii="Times New Roman" w:cs="Times New Roman" w:hAnsi="Times New Roman"/>
        </w:rPr>
        <w:t>.3</w:t>
      </w:r>
      <w:r>
        <w:rPr>
          <w:rFonts w:ascii="Times New Roman" w:cs="Times New Roman" w:eastAsia="等线" w:hAnsi="Times New Roman"/>
          <w:lang w:val="en-US"/>
        </w:rPr>
        <w:tab/>
      </w:r>
      <w:r>
        <w:rPr>
          <w:rStyle w:val="style85"/>
          <w:rFonts w:ascii="Times New Roman" w:cs="Times New Roman" w:hAnsi="Times New Roman"/>
        </w:rPr>
        <w:t>Sociological Jurisprudence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_Toc233678267 \h </w:instrText>
      </w:r>
      <w:r>
        <w:rPr>
          <w:rFonts w:ascii="Times New Roman" w:cs="Times New Roman" w:hAnsi="Times New Roman"/>
        </w:rPr>
        <w:fldChar w:fldCharType="separate"/>
      </w:r>
      <w:r>
        <w:rPr>
          <w:rFonts w:ascii="Times New Roman" w:cs="Times New Roman" w:hAnsi="Times New Roman"/>
        </w:rPr>
        <w:t>49</w:t>
      </w:r>
      <w:r>
        <w:rPr>
          <w:rFonts w:ascii="Times New Roman" w:cs="Times New Roman" w:hAnsi="Times New Roman"/>
        </w:rPr>
        <w:fldChar w:fldCharType="end"/>
      </w:r>
      <w:r>
        <w:rPr>
          <w:rFonts w:ascii="Times New Roman" w:cs="Times New Roman" w:hAnsi="Times New Roman"/>
        </w:rPr>
        <w:fldChar w:fldCharType="end"/>
      </w:r>
    </w:p>
    <w:p w14:paraId="0A0C1068">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"_Toc233678268" </w:instrText>
      </w:r>
      <w:r>
        <w:rPr/>
        <w:fldChar w:fldCharType="separate"/>
      </w:r>
      <w:r>
        <w:rPr>
          <w:rStyle w:val="style85"/>
          <w:rFonts w:ascii="Times New Roman" w:cs="Times New Roman" w:hAnsi="Times New Roman"/>
        </w:rPr>
        <w:t>2.</w:t>
      </w:r>
      <w:r>
        <w:rPr>
          <w:rStyle w:val="style85"/>
          <w:rFonts w:ascii="Times New Roman" w:cs="Times New Roman" w:hAnsi="Times New Roman"/>
          <w:lang w:val="en-US"/>
        </w:rPr>
        <w:t>9</w:t>
      </w:r>
      <w:r>
        <w:rPr>
          <w:rStyle w:val="style85"/>
          <w:rFonts w:ascii="Times New Roman" w:cs="Times New Roman" w:hAnsi="Times New Roman"/>
        </w:rPr>
        <w:t>.4</w:t>
      </w:r>
      <w:r>
        <w:rPr>
          <w:rFonts w:ascii="Times New Roman" w:cs="Times New Roman" w:eastAsia="等线" w:hAnsi="Times New Roman"/>
          <w:lang w:val="en-US"/>
        </w:rPr>
        <w:tab/>
      </w:r>
      <w:r>
        <w:rPr>
          <w:rStyle w:val="style85"/>
          <w:rFonts w:ascii="Times New Roman" w:cs="Times New Roman" w:hAnsi="Times New Roman"/>
        </w:rPr>
        <w:t>Legal Realism</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_Toc233678268 \h </w:instrText>
      </w:r>
      <w:r>
        <w:rPr>
          <w:rFonts w:ascii="Times New Roman" w:cs="Times New Roman" w:hAnsi="Times New Roman"/>
        </w:rPr>
        <w:fldChar w:fldCharType="separate"/>
      </w:r>
      <w:r>
        <w:rPr>
          <w:rFonts w:ascii="Times New Roman" w:cs="Times New Roman" w:hAnsi="Times New Roman"/>
        </w:rPr>
        <w:t>50</w:t>
      </w:r>
      <w:r>
        <w:rPr>
          <w:rFonts w:ascii="Times New Roman" w:cs="Times New Roman" w:hAnsi="Times New Roman"/>
        </w:rPr>
        <w:fldChar w:fldCharType="end"/>
      </w:r>
      <w:r>
        <w:rPr>
          <w:rFonts w:ascii="Times New Roman" w:cs="Times New Roman" w:hAnsi="Times New Roman"/>
        </w:rPr>
        <w:fldChar w:fldCharType="end"/>
      </w:r>
    </w:p>
    <w:p w14:paraId="027C0C9A">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"_Toc233678269" </w:instrText>
      </w:r>
      <w:r>
        <w:rPr/>
        <w:fldChar w:fldCharType="separate"/>
      </w:r>
      <w:r>
        <w:rPr>
          <w:rStyle w:val="style85"/>
          <w:rFonts w:ascii="Times New Roman" w:cs="Times New Roman" w:hAnsi="Times New Roman"/>
          <w:lang w:val="en-US"/>
        </w:rPr>
        <w:t xml:space="preserve">2.9.5 </w:t>
      </w:r>
      <w:r>
        <w:rPr>
          <w:rFonts w:ascii="Times New Roman" w:cs="Times New Roman" w:eastAsia="等线" w:hAnsi="Times New Roman"/>
          <w:lang w:val="en-US"/>
        </w:rPr>
        <w:tab/>
      </w:r>
      <w:r>
        <w:rPr>
          <w:rStyle w:val="style85"/>
          <w:rFonts w:ascii="Times New Roman" w:cs="Times New Roman" w:hAnsi="Times New Roman"/>
          <w:lang w:val="en-US"/>
        </w:rPr>
        <w:t>Child Welfare and Parentage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_Toc233678269 \h </w:instrText>
      </w:r>
      <w:r>
        <w:rPr>
          <w:rFonts w:ascii="Times New Roman" w:cs="Times New Roman" w:hAnsi="Times New Roman"/>
        </w:rPr>
        <w:fldChar w:fldCharType="separate"/>
      </w:r>
      <w:r>
        <w:rPr>
          <w:rFonts w:ascii="Times New Roman" w:cs="Times New Roman" w:hAnsi="Times New Roman"/>
        </w:rPr>
        <w:t>51</w:t>
      </w:r>
      <w:r>
        <w:rPr>
          <w:rFonts w:ascii="Times New Roman" w:cs="Times New Roman" w:hAnsi="Times New Roman"/>
        </w:rPr>
        <w:fldChar w:fldCharType="end"/>
      </w:r>
      <w:r>
        <w:rPr>
          <w:rFonts w:ascii="Times New Roman" w:cs="Times New Roman" w:hAnsi="Times New Roman"/>
        </w:rPr>
        <w:fldChar w:fldCharType="end"/>
      </w:r>
    </w:p>
    <w:p w14:paraId="1AE7E8B0">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"_Toc233678270" </w:instrText>
      </w:r>
      <w:r>
        <w:rPr/>
        <w:fldChar w:fldCharType="separate"/>
      </w:r>
      <w:r>
        <w:rPr>
          <w:rStyle w:val="style85"/>
          <w:rFonts w:ascii="Times New Roman" w:cs="Times New Roman" w:hAnsi="Times New Roman"/>
        </w:rPr>
        <w:t>CHAPTER THREE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_Toc233678270 \h </w:instrText>
      </w:r>
      <w:r>
        <w:rPr>
          <w:rFonts w:ascii="Times New Roman" w:cs="Times New Roman" w:hAnsi="Times New Roman"/>
        </w:rPr>
        <w:fldChar w:fldCharType="separate"/>
      </w:r>
      <w:r>
        <w:rPr>
          <w:rFonts w:ascii="Times New Roman" w:cs="Times New Roman" w:hAnsi="Times New Roman"/>
        </w:rPr>
        <w:t>53</w:t>
      </w:r>
      <w:r>
        <w:rPr>
          <w:rFonts w:ascii="Times New Roman" w:cs="Times New Roman" w:hAnsi="Times New Roman"/>
        </w:rPr>
        <w:fldChar w:fldCharType="end"/>
      </w:r>
      <w:r>
        <w:rPr>
          <w:rFonts w:ascii="Times New Roman" w:cs="Times New Roman" w:hAnsi="Times New Roman"/>
        </w:rPr>
        <w:fldChar w:fldCharType="end"/>
      </w:r>
    </w:p>
    <w:p w14:paraId="3D2A573E">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"_Toc233678271" </w:instrText>
      </w:r>
      <w:r>
        <w:rPr/>
        <w:fldChar w:fldCharType="separate"/>
      </w:r>
      <w:r>
        <w:rPr>
          <w:rStyle w:val="style85"/>
          <w:rFonts w:ascii="Times New Roman" w:cs="Times New Roman" w:hAnsi="Times New Roman"/>
        </w:rPr>
        <w:t>LEGAL AND INSTITUTIONAL FRAMEWORK ON PARENTAGE IN SURROGACY AND ART</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_Toc233678271 \h </w:instrText>
      </w:r>
      <w:r>
        <w:rPr>
          <w:rFonts w:ascii="Times New Roman" w:cs="Times New Roman" w:hAnsi="Times New Roman"/>
        </w:rPr>
        <w:fldChar w:fldCharType="separate"/>
      </w:r>
      <w:r>
        <w:rPr>
          <w:rFonts w:ascii="Times New Roman" w:cs="Times New Roman" w:hAnsi="Times New Roman"/>
        </w:rPr>
        <w:t>53</w:t>
      </w:r>
      <w:r>
        <w:rPr>
          <w:rFonts w:ascii="Times New Roman" w:cs="Times New Roman" w:hAnsi="Times New Roman"/>
        </w:rPr>
        <w:fldChar w:fldCharType="end"/>
      </w:r>
      <w:r>
        <w:rPr>
          <w:rFonts w:ascii="Times New Roman" w:cs="Times New Roman" w:hAnsi="Times New Roman"/>
        </w:rPr>
        <w:fldChar w:fldCharType="end"/>
      </w:r>
    </w:p>
    <w:p w14:paraId="37051FA0">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"_Toc233678272" </w:instrText>
      </w:r>
      <w:r>
        <w:rPr/>
        <w:fldChar w:fldCharType="separate"/>
      </w:r>
      <w:r>
        <w:rPr>
          <w:rStyle w:val="style85"/>
          <w:rFonts w:ascii="Times New Roman" w:cs="Times New Roman" w:hAnsi="Times New Roman"/>
        </w:rPr>
        <w:t xml:space="preserve">3.1 </w:t>
      </w:r>
      <w:r>
        <w:rPr>
          <w:rFonts w:ascii="Times New Roman" w:cs="Times New Roman" w:eastAsia="等线" w:hAnsi="Times New Roman"/>
          <w:lang w:val="en-US"/>
        </w:rPr>
        <w:tab/>
      </w:r>
      <w:r>
        <w:rPr>
          <w:rStyle w:val="style85"/>
          <w:rFonts w:ascii="Times New Roman" w:cs="Times New Roman" w:hAnsi="Times New Roman"/>
        </w:rPr>
        <w:t>Legislative Framework on Parentage in Surrogacy and ART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_Toc233678272 \h </w:instrText>
      </w:r>
      <w:r>
        <w:rPr>
          <w:rFonts w:ascii="Times New Roman" w:cs="Times New Roman" w:hAnsi="Times New Roman"/>
        </w:rPr>
        <w:fldChar w:fldCharType="separate"/>
      </w:r>
      <w:r>
        <w:rPr>
          <w:rFonts w:ascii="Times New Roman" w:cs="Times New Roman" w:hAnsi="Times New Roman"/>
        </w:rPr>
        <w:t>53</w:t>
      </w:r>
      <w:r>
        <w:rPr>
          <w:rFonts w:ascii="Times New Roman" w:cs="Times New Roman" w:hAnsi="Times New Roman"/>
        </w:rPr>
        <w:fldChar w:fldCharType="end"/>
      </w:r>
      <w:r>
        <w:rPr>
          <w:rFonts w:ascii="Times New Roman" w:cs="Times New Roman" w:hAnsi="Times New Roman"/>
        </w:rPr>
        <w:fldChar w:fldCharType="end"/>
      </w:r>
    </w:p>
    <w:p w14:paraId="5C203EF6">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"_Toc233678273" </w:instrText>
      </w:r>
      <w:r>
        <w:rPr/>
        <w:fldChar w:fldCharType="separate"/>
      </w:r>
      <w:r>
        <w:rPr>
          <w:rStyle w:val="style85"/>
          <w:rFonts w:ascii="Times New Roman" w:cs="Times New Roman" w:hAnsi="Times New Roman"/>
        </w:rPr>
        <w:t xml:space="preserve">3.1.1 </w:t>
      </w:r>
      <w:r>
        <w:rPr>
          <w:rFonts w:ascii="Times New Roman" w:cs="Times New Roman" w:eastAsia="等线" w:hAnsi="Times New Roman"/>
          <w:lang w:val="en-US"/>
        </w:rPr>
        <w:tab/>
      </w:r>
      <w:r>
        <w:rPr>
          <w:rStyle w:val="style85"/>
          <w:rFonts w:ascii="Times New Roman" w:cs="Times New Roman" w:hAnsi="Times New Roman"/>
        </w:rPr>
        <w:t>Core Municipal Legislation on Parentage in Surrogacy and ART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_Toc233678273 \h </w:instrText>
      </w:r>
      <w:r>
        <w:rPr>
          <w:rFonts w:ascii="Times New Roman" w:cs="Times New Roman" w:hAnsi="Times New Roman"/>
        </w:rPr>
        <w:fldChar w:fldCharType="separate"/>
      </w:r>
      <w:r>
        <w:rPr>
          <w:rFonts w:ascii="Times New Roman" w:cs="Times New Roman" w:hAnsi="Times New Roman"/>
        </w:rPr>
        <w:t>53</w:t>
      </w:r>
      <w:r>
        <w:rPr>
          <w:rFonts w:ascii="Times New Roman" w:cs="Times New Roman" w:hAnsi="Times New Roman"/>
        </w:rPr>
        <w:fldChar w:fldCharType="end"/>
      </w:r>
      <w:r>
        <w:rPr>
          <w:rFonts w:ascii="Times New Roman" w:cs="Times New Roman" w:hAnsi="Times New Roman"/>
        </w:rPr>
        <w:fldChar w:fldCharType="end"/>
      </w:r>
    </w:p>
    <w:p w14:paraId="4A2940C1">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"_Toc233678274" </w:instrText>
      </w:r>
      <w:r>
        <w:rPr/>
        <w:fldChar w:fldCharType="separate"/>
      </w:r>
      <w:r>
        <w:rPr>
          <w:rStyle w:val="style85"/>
          <w:rFonts w:ascii="Times New Roman" w:cs="Times New Roman" w:hAnsi="Times New Roman"/>
        </w:rPr>
        <w:t xml:space="preserve">3.1.2 </w:t>
      </w:r>
      <w:r>
        <w:rPr>
          <w:rFonts w:ascii="Times New Roman" w:cs="Times New Roman" w:eastAsia="等线" w:hAnsi="Times New Roman"/>
          <w:lang w:val="en-US"/>
        </w:rPr>
        <w:tab/>
      </w:r>
      <w:r>
        <w:rPr>
          <w:rStyle w:val="style85"/>
          <w:rFonts w:ascii="Times New Roman" w:cs="Times New Roman" w:hAnsi="Times New Roman"/>
        </w:rPr>
        <w:t>Core International Legislation on Parentage in Surrogacy and ART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_Toc233678274 \h </w:instrText>
      </w:r>
      <w:r>
        <w:rPr>
          <w:rFonts w:ascii="Times New Roman" w:cs="Times New Roman" w:hAnsi="Times New Roman"/>
        </w:rPr>
        <w:fldChar w:fldCharType="separate"/>
      </w:r>
      <w:r>
        <w:rPr>
          <w:rFonts w:ascii="Times New Roman" w:cs="Times New Roman" w:hAnsi="Times New Roman"/>
        </w:rPr>
        <w:t>60</w:t>
      </w:r>
      <w:r>
        <w:rPr>
          <w:rFonts w:ascii="Times New Roman" w:cs="Times New Roman" w:hAnsi="Times New Roman"/>
        </w:rPr>
        <w:fldChar w:fldCharType="end"/>
      </w:r>
      <w:r>
        <w:rPr>
          <w:rFonts w:ascii="Times New Roman" w:cs="Times New Roman" w:hAnsi="Times New Roman"/>
        </w:rPr>
        <w:fldChar w:fldCharType="end"/>
      </w:r>
    </w:p>
    <w:p w14:paraId="24D491D6">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"_Toc233678275" </w:instrText>
      </w:r>
      <w:r>
        <w:rPr/>
        <w:fldChar w:fldCharType="separate"/>
      </w:r>
      <w:r>
        <w:rPr>
          <w:rStyle w:val="style85"/>
          <w:rFonts w:ascii="Times New Roman" w:cs="Times New Roman" w:hAnsi="Times New Roman"/>
        </w:rPr>
        <w:t xml:space="preserve">3.1.3 </w:t>
      </w:r>
      <w:r>
        <w:rPr>
          <w:rFonts w:ascii="Times New Roman" w:cs="Times New Roman" w:eastAsia="等线" w:hAnsi="Times New Roman"/>
          <w:lang w:val="en-US"/>
        </w:rPr>
        <w:tab/>
      </w:r>
      <w:r>
        <w:rPr>
          <w:rStyle w:val="style85"/>
          <w:rFonts w:ascii="Times New Roman" w:cs="Times New Roman" w:hAnsi="Times New Roman"/>
        </w:rPr>
        <w:t>Emerging Legislation on Parentage in Surrogacy and ART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_Toc233678275 \h </w:instrText>
      </w:r>
      <w:r>
        <w:rPr>
          <w:rFonts w:ascii="Times New Roman" w:cs="Times New Roman" w:hAnsi="Times New Roman"/>
        </w:rPr>
        <w:fldChar w:fldCharType="separate"/>
      </w:r>
      <w:r>
        <w:rPr>
          <w:rFonts w:ascii="Times New Roman" w:cs="Times New Roman" w:hAnsi="Times New Roman"/>
        </w:rPr>
        <w:t>63</w:t>
      </w:r>
      <w:r>
        <w:rPr>
          <w:rFonts w:ascii="Times New Roman" w:cs="Times New Roman" w:hAnsi="Times New Roman"/>
        </w:rPr>
        <w:fldChar w:fldCharType="end"/>
      </w:r>
      <w:r>
        <w:rPr>
          <w:rFonts w:ascii="Times New Roman" w:cs="Times New Roman" w:hAnsi="Times New Roman"/>
        </w:rPr>
        <w:fldChar w:fldCharType="end"/>
      </w:r>
    </w:p>
    <w:p w14:paraId="750CFAB7">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"_Toc233678276" </w:instrText>
      </w:r>
      <w:r>
        <w:rPr/>
        <w:fldChar w:fldCharType="separate"/>
      </w:r>
      <w:r>
        <w:rPr>
          <w:rStyle w:val="style85"/>
          <w:rFonts w:ascii="Times New Roman" w:cs="Times New Roman" w:hAnsi="Times New Roman"/>
        </w:rPr>
        <w:t xml:space="preserve">3.1.4 </w:t>
      </w:r>
      <w:r>
        <w:rPr>
          <w:rFonts w:ascii="Times New Roman" w:cs="Times New Roman" w:eastAsia="等线" w:hAnsi="Times New Roman"/>
          <w:lang w:val="en-US"/>
        </w:rPr>
        <w:tab/>
      </w:r>
      <w:r>
        <w:rPr>
          <w:rStyle w:val="style85"/>
          <w:rFonts w:ascii="Times New Roman" w:cs="Times New Roman" w:hAnsi="Times New Roman"/>
        </w:rPr>
        <w:t xml:space="preserve"> Comparative Legislation from South Africa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_Toc233678276 \h </w:instrText>
      </w:r>
      <w:r>
        <w:rPr>
          <w:rFonts w:ascii="Times New Roman" w:cs="Times New Roman" w:hAnsi="Times New Roman"/>
        </w:rPr>
        <w:fldChar w:fldCharType="separate"/>
      </w:r>
      <w:r>
        <w:rPr>
          <w:rFonts w:ascii="Times New Roman" w:cs="Times New Roman" w:hAnsi="Times New Roman"/>
        </w:rPr>
        <w:t>68</w:t>
      </w:r>
      <w:r>
        <w:rPr>
          <w:rFonts w:ascii="Times New Roman" w:cs="Times New Roman" w:hAnsi="Times New Roman"/>
        </w:rPr>
        <w:fldChar w:fldCharType="end"/>
      </w:r>
      <w:r>
        <w:rPr>
          <w:rFonts w:ascii="Times New Roman" w:cs="Times New Roman" w:hAnsi="Times New Roman"/>
        </w:rPr>
        <w:fldChar w:fldCharType="end"/>
      </w:r>
    </w:p>
    <w:p w14:paraId="54B6F52D">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"_Toc233678277" </w:instrText>
      </w:r>
      <w:r>
        <w:rPr/>
        <w:fldChar w:fldCharType="separate"/>
      </w:r>
      <w:r>
        <w:rPr>
          <w:rStyle w:val="style85"/>
          <w:rFonts w:ascii="Times New Roman" w:cs="Times New Roman" w:hAnsi="Times New Roman"/>
        </w:rPr>
        <w:t xml:space="preserve">3.2 </w:t>
      </w:r>
      <w:r>
        <w:rPr>
          <w:rFonts w:ascii="Times New Roman" w:cs="Times New Roman" w:eastAsia="等线" w:hAnsi="Times New Roman"/>
          <w:lang w:val="en-US"/>
        </w:rPr>
        <w:tab/>
      </w:r>
      <w:r>
        <w:rPr>
          <w:rStyle w:val="style85"/>
          <w:rFonts w:ascii="Times New Roman" w:cs="Times New Roman" w:hAnsi="Times New Roman"/>
        </w:rPr>
        <w:t>Institutional Framework on Parentage in Surrogacy and ART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_Toc233678277 \h </w:instrText>
      </w:r>
      <w:r>
        <w:rPr>
          <w:rFonts w:ascii="Times New Roman" w:cs="Times New Roman" w:hAnsi="Times New Roman"/>
        </w:rPr>
        <w:fldChar w:fldCharType="separate"/>
      </w:r>
      <w:r>
        <w:rPr>
          <w:rFonts w:ascii="Times New Roman" w:cs="Times New Roman" w:hAnsi="Times New Roman"/>
        </w:rPr>
        <w:t>74</w:t>
      </w:r>
      <w:r>
        <w:rPr>
          <w:rFonts w:ascii="Times New Roman" w:cs="Times New Roman" w:hAnsi="Times New Roman"/>
        </w:rPr>
        <w:fldChar w:fldCharType="end"/>
      </w:r>
      <w:r>
        <w:rPr>
          <w:rFonts w:ascii="Times New Roman" w:cs="Times New Roman" w:hAnsi="Times New Roman"/>
        </w:rPr>
        <w:fldChar w:fldCharType="end"/>
      </w:r>
    </w:p>
    <w:p w14:paraId="285F86E1">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"_Toc233678278" </w:instrText>
      </w:r>
      <w:r>
        <w:rPr/>
        <w:fldChar w:fldCharType="separate"/>
      </w:r>
      <w:r>
        <w:rPr>
          <w:rStyle w:val="style85"/>
          <w:rFonts w:ascii="Times New Roman" w:cs="Times New Roman" w:hAnsi="Times New Roman"/>
        </w:rPr>
        <w:t xml:space="preserve">3.2.1 </w:t>
      </w:r>
      <w:r>
        <w:rPr>
          <w:rFonts w:ascii="Times New Roman" w:cs="Times New Roman" w:eastAsia="等线" w:hAnsi="Times New Roman"/>
          <w:lang w:val="en-US"/>
        </w:rPr>
        <w:tab/>
      </w:r>
      <w:r>
        <w:rPr>
          <w:rStyle w:val="style85"/>
          <w:rFonts w:ascii="Times New Roman" w:cs="Times New Roman" w:hAnsi="Times New Roman"/>
        </w:rPr>
        <w:t>Core Municipal Institutions on Parentage in Surrogacy and ART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_Toc233678278 \h </w:instrText>
      </w:r>
      <w:r>
        <w:rPr>
          <w:rFonts w:ascii="Times New Roman" w:cs="Times New Roman" w:hAnsi="Times New Roman"/>
        </w:rPr>
        <w:fldChar w:fldCharType="separate"/>
      </w:r>
      <w:r>
        <w:rPr>
          <w:rFonts w:ascii="Times New Roman" w:cs="Times New Roman" w:hAnsi="Times New Roman"/>
        </w:rPr>
        <w:t>74</w:t>
      </w:r>
      <w:r>
        <w:rPr>
          <w:rFonts w:ascii="Times New Roman" w:cs="Times New Roman" w:hAnsi="Times New Roman"/>
        </w:rPr>
        <w:fldChar w:fldCharType="end"/>
      </w:r>
      <w:r>
        <w:rPr>
          <w:rFonts w:ascii="Times New Roman" w:cs="Times New Roman" w:hAnsi="Times New Roman"/>
        </w:rPr>
        <w:fldChar w:fldCharType="end"/>
      </w:r>
    </w:p>
    <w:p w14:paraId="11CE9CF6">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"_Toc233678279" </w:instrText>
      </w:r>
      <w:r>
        <w:rPr/>
        <w:fldChar w:fldCharType="separate"/>
      </w:r>
      <w:r>
        <w:rPr>
          <w:rStyle w:val="style85"/>
          <w:rFonts w:ascii="Times New Roman" w:cs="Times New Roman" w:hAnsi="Times New Roman"/>
        </w:rPr>
        <w:t xml:space="preserve">3.2.2 </w:t>
      </w:r>
      <w:r>
        <w:rPr>
          <w:rFonts w:ascii="Times New Roman" w:cs="Times New Roman" w:eastAsia="等线" w:hAnsi="Times New Roman"/>
          <w:lang w:val="en-US"/>
        </w:rPr>
        <w:tab/>
      </w:r>
      <w:r>
        <w:rPr>
          <w:rStyle w:val="style85"/>
          <w:rFonts w:ascii="Times New Roman" w:cs="Times New Roman" w:hAnsi="Times New Roman"/>
        </w:rPr>
        <w:t>Core International Institutions on Parentage in Surrogacy and ART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_Toc233678279 \h </w:instrText>
      </w:r>
      <w:r>
        <w:rPr>
          <w:rFonts w:ascii="Times New Roman" w:cs="Times New Roman" w:hAnsi="Times New Roman"/>
        </w:rPr>
        <w:fldChar w:fldCharType="separate"/>
      </w:r>
      <w:r>
        <w:rPr>
          <w:rFonts w:ascii="Times New Roman" w:cs="Times New Roman" w:hAnsi="Times New Roman"/>
        </w:rPr>
        <w:t>77</w:t>
      </w:r>
      <w:r>
        <w:rPr>
          <w:rFonts w:ascii="Times New Roman" w:cs="Times New Roman" w:hAnsi="Times New Roman"/>
        </w:rPr>
        <w:fldChar w:fldCharType="end"/>
      </w:r>
      <w:r>
        <w:rPr>
          <w:rFonts w:ascii="Times New Roman" w:cs="Times New Roman" w:hAnsi="Times New Roman"/>
        </w:rPr>
        <w:fldChar w:fldCharType="end"/>
      </w:r>
    </w:p>
    <w:p w14:paraId="36E7E367">
      <w:pPr>
        <w:pStyle w:val="style20"/>
        <w:tabs>
          <w:tab w:val="right" w:leader="dot" w:pos="9017"/>
        </w:tabs>
        <w:rPr>
          <w:rFonts w:ascii="Times New Roman" w:cs="Times New Roman" w:eastAsia="等线" w:hAnsi="Times New Roman"/>
          <w:lang w:val="en-US"/>
        </w:rPr>
      </w:pPr>
      <w:r>
        <w:rPr/>
        <w:fldChar w:fldCharType="begin"/>
      </w:r>
      <w:r>
        <w:instrText xml:space="preserve"> HYPERLINK \l "_Toc233678280" </w:instrText>
      </w:r>
      <w:r>
        <w:rPr/>
        <w:fldChar w:fldCharType="separate"/>
      </w:r>
      <w:r>
        <w:rPr>
          <w:rStyle w:val="style85"/>
          <w:rFonts w:ascii="Times New Roman" w:cs="Times New Roman" w:hAnsi="Times New Roman"/>
          <w:lang w:val="en-US"/>
        </w:rPr>
        <w:t>3.3      Surrogacy Agreements as Private Instruments within the Nigerian Legal Framework</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_Toc233678280 \h </w:instrText>
      </w:r>
      <w:r>
        <w:rPr>
          <w:rFonts w:ascii="Times New Roman" w:cs="Times New Roman" w:hAnsi="Times New Roman"/>
        </w:rPr>
        <w:fldChar w:fldCharType="separate"/>
      </w:r>
      <w:r>
        <w:rPr>
          <w:rFonts w:ascii="Times New Roman" w:cs="Times New Roman" w:hAnsi="Times New Roman"/>
        </w:rPr>
        <w:t>79</w:t>
      </w:r>
      <w:r>
        <w:rPr>
          <w:rFonts w:ascii="Times New Roman" w:cs="Times New Roman" w:hAnsi="Times New Roman"/>
        </w:rPr>
        <w:fldChar w:fldCharType="end"/>
      </w:r>
      <w:r>
        <w:rPr>
          <w:rFonts w:ascii="Times New Roman" w:cs="Times New Roman" w:hAnsi="Times New Roman"/>
        </w:rPr>
        <w:fldChar w:fldCharType="end"/>
      </w:r>
    </w:p>
    <w:p w14:paraId="78198097">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"_Toc233678281" </w:instrText>
      </w:r>
      <w:r>
        <w:rPr/>
        <w:fldChar w:fldCharType="separate"/>
      </w:r>
      <w:r>
        <w:rPr>
          <w:rStyle w:val="style85"/>
          <w:rFonts w:ascii="Times New Roman" w:cs="Times New Roman" w:hAnsi="Times New Roman"/>
        </w:rPr>
        <w:t>CHAPTER FOUR</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_Toc233678281 \h </w:instrText>
      </w:r>
      <w:r>
        <w:rPr>
          <w:rFonts w:ascii="Times New Roman" w:cs="Times New Roman" w:hAnsi="Times New Roman"/>
        </w:rPr>
        <w:fldChar w:fldCharType="separate"/>
      </w:r>
      <w:r>
        <w:rPr>
          <w:rFonts w:ascii="Times New Roman" w:cs="Times New Roman" w:hAnsi="Times New Roman"/>
        </w:rPr>
        <w:t>80</w:t>
      </w:r>
      <w:r>
        <w:rPr>
          <w:rFonts w:ascii="Times New Roman" w:cs="Times New Roman" w:hAnsi="Times New Roman"/>
        </w:rPr>
        <w:fldChar w:fldCharType="end"/>
      </w:r>
      <w:r>
        <w:rPr>
          <w:rFonts w:ascii="Times New Roman" w:cs="Times New Roman" w:hAnsi="Times New Roman"/>
        </w:rPr>
        <w:fldChar w:fldCharType="end"/>
      </w:r>
    </w:p>
    <w:p w14:paraId="3F9F8542">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"_Toc233678282" </w:instrText>
      </w:r>
      <w:r>
        <w:rPr/>
        <w:fldChar w:fldCharType="separate"/>
      </w:r>
      <w:r>
        <w:rPr>
          <w:rStyle w:val="style85"/>
          <w:rFonts w:ascii="Times New Roman" w:cs="Times New Roman" w:hAnsi="Times New Roman"/>
        </w:rPr>
        <w:t>DETERMINATION OF PARENTAGE AND PRACTICAL CHALLENGES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_Toc233678282 \h </w:instrText>
      </w:r>
      <w:r>
        <w:rPr>
          <w:rFonts w:ascii="Times New Roman" w:cs="Times New Roman" w:hAnsi="Times New Roman"/>
        </w:rPr>
        <w:fldChar w:fldCharType="separate"/>
      </w:r>
      <w:r>
        <w:rPr>
          <w:rFonts w:ascii="Times New Roman" w:cs="Times New Roman" w:hAnsi="Times New Roman"/>
        </w:rPr>
        <w:t>80</w:t>
      </w:r>
      <w:r>
        <w:rPr>
          <w:rFonts w:ascii="Times New Roman" w:cs="Times New Roman" w:hAnsi="Times New Roman"/>
        </w:rPr>
        <w:fldChar w:fldCharType="end"/>
      </w:r>
      <w:r>
        <w:rPr>
          <w:rFonts w:ascii="Times New Roman" w:cs="Times New Roman" w:hAnsi="Times New Roman"/>
        </w:rPr>
        <w:fldChar w:fldCharType="end"/>
      </w:r>
    </w:p>
    <w:p w14:paraId="55E3FC52">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"_Toc233678283" </w:instrText>
      </w:r>
      <w:r>
        <w:rPr/>
        <w:fldChar w:fldCharType="separate"/>
      </w:r>
      <w:r>
        <w:rPr>
          <w:rStyle w:val="style85"/>
          <w:rFonts w:ascii="Times New Roman" w:cs="Times New Roman" w:hAnsi="Times New Roman"/>
          <w:lang w:val="en-US"/>
        </w:rPr>
        <w:t xml:space="preserve">4.1 </w:t>
      </w:r>
      <w:r>
        <w:rPr>
          <w:rFonts w:ascii="Times New Roman" w:cs="Times New Roman" w:eastAsia="等线" w:hAnsi="Times New Roman"/>
          <w:lang w:val="en-US"/>
        </w:rPr>
        <w:tab/>
      </w:r>
      <w:r>
        <w:rPr>
          <w:rStyle w:val="style85"/>
          <w:rFonts w:ascii="Times New Roman" w:cs="Times New Roman" w:hAnsi="Times New Roman"/>
          <w:lang w:val="en-US"/>
        </w:rPr>
        <w:t>Determination of Parentage under Nigerian Law</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_Toc233678283 \h </w:instrText>
      </w:r>
      <w:r>
        <w:rPr>
          <w:rFonts w:ascii="Times New Roman" w:cs="Times New Roman" w:hAnsi="Times New Roman"/>
        </w:rPr>
        <w:fldChar w:fldCharType="separate"/>
      </w:r>
      <w:r>
        <w:rPr>
          <w:rFonts w:ascii="Times New Roman" w:cs="Times New Roman" w:hAnsi="Times New Roman"/>
        </w:rPr>
        <w:t>80</w:t>
      </w:r>
      <w:r>
        <w:rPr>
          <w:rFonts w:ascii="Times New Roman" w:cs="Times New Roman" w:hAnsi="Times New Roman"/>
        </w:rPr>
        <w:fldChar w:fldCharType="end"/>
      </w:r>
      <w:r>
        <w:rPr>
          <w:rFonts w:ascii="Times New Roman" w:cs="Times New Roman" w:hAnsi="Times New Roman"/>
        </w:rPr>
        <w:fldChar w:fldCharType="end"/>
      </w:r>
    </w:p>
    <w:p w14:paraId="42CC6835">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"_Toc233678284" </w:instrText>
      </w:r>
      <w:r>
        <w:rPr/>
        <w:fldChar w:fldCharType="separate"/>
      </w:r>
      <w:r>
        <w:rPr>
          <w:rStyle w:val="style85"/>
          <w:rFonts w:ascii="Times New Roman" w:cs="Times New Roman" w:hAnsi="Times New Roman"/>
          <w:lang w:val="en-US"/>
        </w:rPr>
        <w:t xml:space="preserve">4.1.1 </w:t>
      </w:r>
      <w:r>
        <w:rPr>
          <w:rFonts w:ascii="Times New Roman" w:cs="Times New Roman" w:eastAsia="等线" w:hAnsi="Times New Roman"/>
          <w:lang w:val="en-US"/>
        </w:rPr>
        <w:tab/>
      </w:r>
      <w:r>
        <w:rPr>
          <w:rStyle w:val="style85"/>
          <w:rFonts w:ascii="Times New Roman" w:cs="Times New Roman" w:hAnsi="Times New Roman"/>
          <w:lang w:val="en-US"/>
        </w:rPr>
        <w:t>Presumptions of Motherhood and Fatherhood</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_Toc233678284 \h </w:instrText>
      </w:r>
      <w:r>
        <w:rPr>
          <w:rFonts w:ascii="Times New Roman" w:cs="Times New Roman" w:hAnsi="Times New Roman"/>
        </w:rPr>
        <w:fldChar w:fldCharType="separate"/>
      </w:r>
      <w:r>
        <w:rPr>
          <w:rFonts w:ascii="Times New Roman" w:cs="Times New Roman" w:hAnsi="Times New Roman"/>
        </w:rPr>
        <w:t>80</w:t>
      </w:r>
      <w:r>
        <w:rPr>
          <w:rFonts w:ascii="Times New Roman" w:cs="Times New Roman" w:hAnsi="Times New Roman"/>
        </w:rPr>
        <w:fldChar w:fldCharType="end"/>
      </w:r>
      <w:r>
        <w:rPr>
          <w:rFonts w:ascii="Times New Roman" w:cs="Times New Roman" w:hAnsi="Times New Roman"/>
        </w:rPr>
        <w:fldChar w:fldCharType="end"/>
      </w:r>
    </w:p>
    <w:p w14:paraId="21820A31">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"_Toc233678285" </w:instrText>
      </w:r>
      <w:r>
        <w:rPr/>
        <w:fldChar w:fldCharType="separate"/>
      </w:r>
      <w:r>
        <w:rPr>
          <w:rStyle w:val="style85"/>
          <w:rFonts w:ascii="Times New Roman" w:cs="Times New Roman" w:hAnsi="Times New Roman"/>
          <w:lang w:val="en-US"/>
        </w:rPr>
        <w:t xml:space="preserve">4.1.2 </w:t>
      </w:r>
      <w:r>
        <w:rPr>
          <w:rFonts w:ascii="Times New Roman" w:cs="Times New Roman" w:eastAsia="等线" w:hAnsi="Times New Roman"/>
          <w:lang w:val="en-US"/>
        </w:rPr>
        <w:tab/>
      </w:r>
      <w:r>
        <w:rPr>
          <w:rStyle w:val="style85"/>
          <w:rFonts w:ascii="Times New Roman" w:cs="Times New Roman" w:hAnsi="Times New Roman"/>
          <w:lang w:val="en-US"/>
        </w:rPr>
        <w:t>DNA and Genetic Evidence in the Proof of Parentage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_Toc233678285 \h </w:instrText>
      </w:r>
      <w:r>
        <w:rPr>
          <w:rFonts w:ascii="Times New Roman" w:cs="Times New Roman" w:hAnsi="Times New Roman"/>
        </w:rPr>
        <w:fldChar w:fldCharType="separate"/>
      </w:r>
      <w:r>
        <w:rPr>
          <w:rFonts w:ascii="Times New Roman" w:cs="Times New Roman" w:hAnsi="Times New Roman"/>
        </w:rPr>
        <w:t>81</w:t>
      </w:r>
      <w:r>
        <w:rPr>
          <w:rFonts w:ascii="Times New Roman" w:cs="Times New Roman" w:hAnsi="Times New Roman"/>
        </w:rPr>
        <w:fldChar w:fldCharType="end"/>
      </w:r>
      <w:r>
        <w:rPr>
          <w:rFonts w:ascii="Times New Roman" w:cs="Times New Roman" w:hAnsi="Times New Roman"/>
        </w:rPr>
        <w:fldChar w:fldCharType="end"/>
      </w:r>
    </w:p>
    <w:p w14:paraId="66AD94DE">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"_Toc233678286" </w:instrText>
      </w:r>
      <w:r>
        <w:rPr/>
        <w:fldChar w:fldCharType="separate"/>
      </w:r>
      <w:r>
        <w:rPr>
          <w:rStyle w:val="style85"/>
          <w:rFonts w:ascii="Times New Roman" w:cs="Times New Roman" w:hAnsi="Times New Roman"/>
          <w:lang w:val="en-US"/>
        </w:rPr>
        <w:t xml:space="preserve">4.1.3 </w:t>
      </w:r>
      <w:r>
        <w:rPr>
          <w:rFonts w:ascii="Times New Roman" w:cs="Times New Roman" w:eastAsia="等线" w:hAnsi="Times New Roman"/>
          <w:lang w:val="en-US"/>
        </w:rPr>
        <w:tab/>
      </w:r>
      <w:r>
        <w:rPr>
          <w:rStyle w:val="style85"/>
          <w:rFonts w:ascii="Times New Roman" w:cs="Times New Roman" w:hAnsi="Times New Roman"/>
          <w:lang w:val="en-US"/>
        </w:rPr>
        <w:t xml:space="preserve"> Legal Processes for Establishing Parentage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_Toc233678286 \h </w:instrText>
      </w:r>
      <w:r>
        <w:rPr>
          <w:rFonts w:ascii="Times New Roman" w:cs="Times New Roman" w:hAnsi="Times New Roman"/>
        </w:rPr>
        <w:fldChar w:fldCharType="separate"/>
      </w:r>
      <w:r>
        <w:rPr>
          <w:rFonts w:ascii="Times New Roman" w:cs="Times New Roman" w:hAnsi="Times New Roman"/>
        </w:rPr>
        <w:t>83</w:t>
      </w:r>
      <w:r>
        <w:rPr>
          <w:rFonts w:ascii="Times New Roman" w:cs="Times New Roman" w:hAnsi="Times New Roman"/>
        </w:rPr>
        <w:fldChar w:fldCharType="end"/>
      </w:r>
      <w:r>
        <w:rPr>
          <w:rFonts w:ascii="Times New Roman" w:cs="Times New Roman" w:hAnsi="Times New Roman"/>
        </w:rPr>
        <w:fldChar w:fldCharType="end"/>
      </w:r>
    </w:p>
    <w:p w14:paraId="4FC086E0">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"_Toc233678287" </w:instrText>
      </w:r>
      <w:r>
        <w:rPr/>
        <w:fldChar w:fldCharType="separate"/>
      </w:r>
      <w:r>
        <w:rPr>
          <w:rStyle w:val="style85"/>
          <w:rFonts w:ascii="Times New Roman" w:cs="Times New Roman" w:hAnsi="Times New Roman"/>
          <w:lang w:val="en-US"/>
        </w:rPr>
        <w:t xml:space="preserve">4.2 </w:t>
      </w:r>
      <w:r>
        <w:rPr>
          <w:rFonts w:ascii="Times New Roman" w:cs="Times New Roman" w:eastAsia="等线" w:hAnsi="Times New Roman"/>
          <w:lang w:val="en-US"/>
        </w:rPr>
        <w:tab/>
      </w:r>
      <w:r>
        <w:rPr>
          <w:rStyle w:val="style85"/>
          <w:rFonts w:ascii="Times New Roman" w:cs="Times New Roman" w:hAnsi="Times New Roman"/>
          <w:lang w:val="en-US"/>
        </w:rPr>
        <w:t>Legal Incident of Parentage in Relation to Children Born through Surrogacy and ART</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_Toc233678287 \h </w:instrText>
      </w:r>
      <w:r>
        <w:rPr>
          <w:rFonts w:ascii="Times New Roman" w:cs="Times New Roman" w:hAnsi="Times New Roman"/>
        </w:rPr>
        <w:fldChar w:fldCharType="separate"/>
      </w:r>
      <w:r>
        <w:rPr>
          <w:rFonts w:ascii="Times New Roman" w:cs="Times New Roman" w:hAnsi="Times New Roman"/>
        </w:rPr>
        <w:t>85</w:t>
      </w:r>
      <w:r>
        <w:rPr>
          <w:rFonts w:ascii="Times New Roman" w:cs="Times New Roman" w:hAnsi="Times New Roman"/>
        </w:rPr>
        <w:fldChar w:fldCharType="end"/>
      </w:r>
      <w:r>
        <w:rPr>
          <w:rFonts w:ascii="Times New Roman" w:cs="Times New Roman" w:hAnsi="Times New Roman"/>
        </w:rPr>
        <w:fldChar w:fldCharType="end"/>
      </w:r>
    </w:p>
    <w:p w14:paraId="70A14E9D">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"_Toc233678288" </w:instrText>
      </w:r>
      <w:r>
        <w:rPr/>
        <w:fldChar w:fldCharType="separate"/>
      </w:r>
      <w:r>
        <w:rPr>
          <w:rStyle w:val="style85"/>
          <w:rFonts w:ascii="Times New Roman" w:cs="Times New Roman" w:hAnsi="Times New Roman"/>
          <w:lang w:val="en-US"/>
        </w:rPr>
        <w:t xml:space="preserve">4.2.1 </w:t>
      </w:r>
      <w:r>
        <w:rPr>
          <w:rFonts w:ascii="Times New Roman" w:cs="Times New Roman" w:eastAsia="等线" w:hAnsi="Times New Roman"/>
          <w:lang w:val="en-US"/>
        </w:rPr>
        <w:tab/>
      </w:r>
      <w:r>
        <w:rPr>
          <w:rStyle w:val="style85"/>
          <w:rFonts w:ascii="Times New Roman" w:cs="Times New Roman" w:hAnsi="Times New Roman"/>
          <w:lang w:val="en-US"/>
        </w:rPr>
        <w:t>Birth Registration and Issuance of Birth Certificates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_Toc233678288 \h </w:instrText>
      </w:r>
      <w:r>
        <w:rPr>
          <w:rFonts w:ascii="Times New Roman" w:cs="Times New Roman" w:hAnsi="Times New Roman"/>
        </w:rPr>
        <w:fldChar w:fldCharType="separate"/>
      </w:r>
      <w:r>
        <w:rPr>
          <w:rFonts w:ascii="Times New Roman" w:cs="Times New Roman" w:hAnsi="Times New Roman"/>
        </w:rPr>
        <w:t>85</w:t>
      </w:r>
      <w:r>
        <w:rPr>
          <w:rFonts w:ascii="Times New Roman" w:cs="Times New Roman" w:hAnsi="Times New Roman"/>
        </w:rPr>
        <w:fldChar w:fldCharType="end"/>
      </w:r>
      <w:r>
        <w:rPr>
          <w:rFonts w:ascii="Times New Roman" w:cs="Times New Roman" w:hAnsi="Times New Roman"/>
        </w:rPr>
        <w:fldChar w:fldCharType="end"/>
      </w:r>
    </w:p>
    <w:p w14:paraId="461A38E2">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"_Toc233678289" </w:instrText>
      </w:r>
      <w:r>
        <w:rPr/>
        <w:fldChar w:fldCharType="separate"/>
      </w:r>
      <w:r>
        <w:rPr>
          <w:rStyle w:val="style85"/>
          <w:rFonts w:ascii="Times New Roman" w:cs="Times New Roman" w:hAnsi="Times New Roman"/>
          <w:lang w:val="en-US"/>
        </w:rPr>
        <w:t xml:space="preserve">4.2.2 </w:t>
      </w:r>
      <w:r>
        <w:rPr>
          <w:rFonts w:ascii="Times New Roman" w:cs="Times New Roman" w:eastAsia="等线" w:hAnsi="Times New Roman"/>
          <w:lang w:val="en-US"/>
        </w:rPr>
        <w:tab/>
      </w:r>
      <w:r>
        <w:rPr>
          <w:rStyle w:val="style85"/>
          <w:rFonts w:ascii="Times New Roman" w:cs="Times New Roman" w:hAnsi="Times New Roman"/>
          <w:lang w:val="en-US"/>
        </w:rPr>
        <w:t>Citizenship and Cross-Border Implications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_Toc233678289 \h </w:instrText>
      </w:r>
      <w:r>
        <w:rPr>
          <w:rFonts w:ascii="Times New Roman" w:cs="Times New Roman" w:hAnsi="Times New Roman"/>
        </w:rPr>
        <w:fldChar w:fldCharType="separate"/>
      </w:r>
      <w:r>
        <w:rPr>
          <w:rFonts w:ascii="Times New Roman" w:cs="Times New Roman" w:hAnsi="Times New Roman"/>
        </w:rPr>
        <w:t>86</w:t>
      </w:r>
      <w:r>
        <w:rPr>
          <w:rFonts w:ascii="Times New Roman" w:cs="Times New Roman" w:hAnsi="Times New Roman"/>
        </w:rPr>
        <w:fldChar w:fldCharType="end"/>
      </w:r>
      <w:r>
        <w:rPr>
          <w:rFonts w:ascii="Times New Roman" w:cs="Times New Roman" w:hAnsi="Times New Roman"/>
        </w:rPr>
        <w:fldChar w:fldCharType="end"/>
      </w:r>
    </w:p>
    <w:p w14:paraId="124E7F52">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"_Toc233678290" </w:instrText>
      </w:r>
      <w:r>
        <w:rPr/>
        <w:fldChar w:fldCharType="separate"/>
      </w:r>
      <w:r>
        <w:rPr>
          <w:rStyle w:val="style85"/>
          <w:rFonts w:ascii="Times New Roman" w:cs="Times New Roman" w:hAnsi="Times New Roman"/>
          <w:lang w:val="en-US"/>
        </w:rPr>
        <w:t xml:space="preserve">4.2.3 </w:t>
      </w:r>
      <w:r>
        <w:rPr>
          <w:rFonts w:ascii="Times New Roman" w:cs="Times New Roman" w:eastAsia="等线" w:hAnsi="Times New Roman"/>
          <w:lang w:val="en-US"/>
        </w:rPr>
        <w:tab/>
      </w:r>
      <w:r>
        <w:rPr>
          <w:rStyle w:val="style85"/>
          <w:rFonts w:ascii="Times New Roman" w:cs="Times New Roman" w:hAnsi="Times New Roman"/>
          <w:lang w:val="en-US"/>
        </w:rPr>
        <w:t>Maintenance Rights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_Toc233678290 \h </w:instrText>
      </w:r>
      <w:r>
        <w:rPr>
          <w:rFonts w:ascii="Times New Roman" w:cs="Times New Roman" w:hAnsi="Times New Roman"/>
        </w:rPr>
        <w:fldChar w:fldCharType="separate"/>
      </w:r>
      <w:r>
        <w:rPr>
          <w:rFonts w:ascii="Times New Roman" w:cs="Times New Roman" w:hAnsi="Times New Roman"/>
        </w:rPr>
        <w:t>87</w:t>
      </w:r>
      <w:r>
        <w:rPr>
          <w:rFonts w:ascii="Times New Roman" w:cs="Times New Roman" w:hAnsi="Times New Roman"/>
        </w:rPr>
        <w:fldChar w:fldCharType="end"/>
      </w:r>
      <w:r>
        <w:rPr>
          <w:rFonts w:ascii="Times New Roman" w:cs="Times New Roman" w:hAnsi="Times New Roman"/>
        </w:rPr>
        <w:fldChar w:fldCharType="end"/>
      </w:r>
    </w:p>
    <w:p w14:paraId="59827E9E">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"_Toc233678291" </w:instrText>
      </w:r>
      <w:r>
        <w:rPr/>
        <w:fldChar w:fldCharType="separate"/>
      </w:r>
      <w:r>
        <w:rPr>
          <w:rStyle w:val="style85"/>
          <w:rFonts w:ascii="Times New Roman" w:cs="Times New Roman" w:hAnsi="Times New Roman"/>
          <w:lang w:val="en-US"/>
        </w:rPr>
        <w:t xml:space="preserve">4.2.4 </w:t>
      </w:r>
      <w:r>
        <w:rPr>
          <w:rFonts w:ascii="Times New Roman" w:cs="Times New Roman" w:eastAsia="等线" w:hAnsi="Times New Roman"/>
          <w:lang w:val="en-US"/>
        </w:rPr>
        <w:tab/>
      </w:r>
      <w:r>
        <w:rPr>
          <w:rStyle w:val="style85"/>
          <w:rFonts w:ascii="Times New Roman" w:cs="Times New Roman" w:hAnsi="Times New Roman"/>
          <w:lang w:val="en-US"/>
        </w:rPr>
        <w:t>Inheritance and Succession Rights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_Toc233678291 \h </w:instrText>
      </w:r>
      <w:r>
        <w:rPr>
          <w:rFonts w:ascii="Times New Roman" w:cs="Times New Roman" w:hAnsi="Times New Roman"/>
        </w:rPr>
        <w:fldChar w:fldCharType="separate"/>
      </w:r>
      <w:r>
        <w:rPr>
          <w:rFonts w:ascii="Times New Roman" w:cs="Times New Roman" w:hAnsi="Times New Roman"/>
        </w:rPr>
        <w:t>87</w:t>
      </w:r>
      <w:r>
        <w:rPr>
          <w:rFonts w:ascii="Times New Roman" w:cs="Times New Roman" w:hAnsi="Times New Roman"/>
        </w:rPr>
        <w:fldChar w:fldCharType="end"/>
      </w:r>
      <w:r>
        <w:rPr>
          <w:rFonts w:ascii="Times New Roman" w:cs="Times New Roman" w:hAnsi="Times New Roman"/>
        </w:rPr>
        <w:fldChar w:fldCharType="end"/>
      </w:r>
    </w:p>
    <w:p w14:paraId="78A3848B">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"_Toc233678292" </w:instrText>
      </w:r>
      <w:r>
        <w:rPr/>
        <w:fldChar w:fldCharType="separate"/>
      </w:r>
      <w:r>
        <w:rPr>
          <w:rStyle w:val="style85"/>
          <w:rFonts w:ascii="Times New Roman" w:cs="Times New Roman" w:hAnsi="Times New Roman"/>
        </w:rPr>
        <w:t xml:space="preserve">4.3 </w:t>
      </w:r>
      <w:r>
        <w:rPr>
          <w:rFonts w:ascii="Times New Roman" w:cs="Times New Roman" w:eastAsia="等线" w:hAnsi="Times New Roman"/>
          <w:lang w:val="en-US"/>
        </w:rPr>
        <w:tab/>
      </w:r>
      <w:r>
        <w:rPr>
          <w:rStyle w:val="style85"/>
          <w:rFonts w:ascii="Times New Roman" w:cs="Times New Roman" w:hAnsi="Times New Roman"/>
        </w:rPr>
        <w:t>Challenges in Determining Parentage of Children Born through Surrogacy and ART</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_Toc233678292 \h </w:instrText>
      </w:r>
      <w:r>
        <w:rPr>
          <w:rFonts w:ascii="Times New Roman" w:cs="Times New Roman" w:hAnsi="Times New Roman"/>
        </w:rPr>
        <w:fldChar w:fldCharType="separate"/>
      </w:r>
      <w:r>
        <w:rPr>
          <w:rFonts w:ascii="Times New Roman" w:cs="Times New Roman" w:hAnsi="Times New Roman"/>
        </w:rPr>
        <w:t>89</w:t>
      </w:r>
      <w:r>
        <w:rPr>
          <w:rFonts w:ascii="Times New Roman" w:cs="Times New Roman" w:hAnsi="Times New Roman"/>
        </w:rPr>
        <w:fldChar w:fldCharType="end"/>
      </w:r>
      <w:r>
        <w:rPr>
          <w:rFonts w:ascii="Times New Roman" w:cs="Times New Roman" w:hAnsi="Times New Roman"/>
        </w:rPr>
        <w:fldChar w:fldCharType="end"/>
      </w:r>
    </w:p>
    <w:p w14:paraId="0EA7A1DC">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"_Toc233678293" </w:instrText>
      </w:r>
      <w:r>
        <w:rPr/>
        <w:fldChar w:fldCharType="separate"/>
      </w:r>
      <w:r>
        <w:rPr>
          <w:rStyle w:val="style85"/>
          <w:rFonts w:ascii="Times New Roman" w:cs="Times New Roman" w:hAnsi="Times New Roman"/>
        </w:rPr>
        <w:t xml:space="preserve">4.3.1 </w:t>
      </w:r>
      <w:r>
        <w:rPr>
          <w:rFonts w:ascii="Times New Roman" w:cs="Times New Roman" w:eastAsia="等线" w:hAnsi="Times New Roman"/>
          <w:lang w:val="en-US"/>
        </w:rPr>
        <w:tab/>
      </w:r>
      <w:r>
        <w:rPr>
          <w:rStyle w:val="style85"/>
          <w:rFonts w:ascii="Times New Roman" w:cs="Times New Roman" w:hAnsi="Times New Roman"/>
        </w:rPr>
        <w:t>Conflict between Genetic, Gestational and Intentional Parenthood</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_Toc233678293 \h </w:instrText>
      </w:r>
      <w:r>
        <w:rPr>
          <w:rFonts w:ascii="Times New Roman" w:cs="Times New Roman" w:hAnsi="Times New Roman"/>
        </w:rPr>
        <w:fldChar w:fldCharType="separate"/>
      </w:r>
      <w:r>
        <w:rPr>
          <w:rFonts w:ascii="Times New Roman" w:cs="Times New Roman" w:hAnsi="Times New Roman"/>
        </w:rPr>
        <w:t>89</w:t>
      </w:r>
      <w:r>
        <w:rPr>
          <w:rFonts w:ascii="Times New Roman" w:cs="Times New Roman" w:hAnsi="Times New Roman"/>
        </w:rPr>
        <w:fldChar w:fldCharType="end"/>
      </w:r>
      <w:r>
        <w:rPr>
          <w:rFonts w:ascii="Times New Roman" w:cs="Times New Roman" w:hAnsi="Times New Roman"/>
        </w:rPr>
        <w:fldChar w:fldCharType="end"/>
      </w:r>
    </w:p>
    <w:p w14:paraId="2079E774">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"_Toc233678294" </w:instrText>
      </w:r>
      <w:r>
        <w:rPr/>
        <w:fldChar w:fldCharType="separate"/>
      </w:r>
      <w:r>
        <w:rPr>
          <w:rStyle w:val="style85"/>
          <w:rFonts w:ascii="Times New Roman" w:cs="Times New Roman" w:hAnsi="Times New Roman"/>
        </w:rPr>
        <w:t xml:space="preserve">4.3.2 </w:t>
      </w:r>
      <w:r>
        <w:rPr>
          <w:rFonts w:ascii="Times New Roman" w:cs="Times New Roman" w:eastAsia="等线" w:hAnsi="Times New Roman"/>
          <w:lang w:val="en-US"/>
        </w:rPr>
        <w:tab/>
      </w:r>
      <w:r>
        <w:rPr>
          <w:rStyle w:val="style85"/>
          <w:rFonts w:ascii="Times New Roman" w:cs="Times New Roman" w:hAnsi="Times New Roman"/>
        </w:rPr>
        <w:t>Fraud and Coercion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_Toc233678294 \h </w:instrText>
      </w:r>
      <w:r>
        <w:rPr>
          <w:rFonts w:ascii="Times New Roman" w:cs="Times New Roman" w:hAnsi="Times New Roman"/>
        </w:rPr>
        <w:fldChar w:fldCharType="separate"/>
      </w:r>
      <w:r>
        <w:rPr>
          <w:rFonts w:ascii="Times New Roman" w:cs="Times New Roman" w:hAnsi="Times New Roman"/>
        </w:rPr>
        <w:t>90</w:t>
      </w:r>
      <w:r>
        <w:rPr>
          <w:rFonts w:ascii="Times New Roman" w:cs="Times New Roman" w:hAnsi="Times New Roman"/>
        </w:rPr>
        <w:fldChar w:fldCharType="end"/>
      </w:r>
      <w:r>
        <w:rPr>
          <w:rFonts w:ascii="Times New Roman" w:cs="Times New Roman" w:hAnsi="Times New Roman"/>
        </w:rPr>
        <w:fldChar w:fldCharType="end"/>
      </w:r>
    </w:p>
    <w:p w14:paraId="2B933F0C">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"_Toc233678295" </w:instrText>
      </w:r>
      <w:r>
        <w:rPr/>
        <w:fldChar w:fldCharType="separate"/>
      </w:r>
      <w:r>
        <w:rPr>
          <w:rStyle w:val="style85"/>
          <w:rFonts w:ascii="Times New Roman" w:cs="Times New Roman" w:hAnsi="Times New Roman"/>
        </w:rPr>
        <w:t xml:space="preserve">4.3.3 </w:t>
      </w:r>
      <w:r>
        <w:rPr>
          <w:rFonts w:ascii="Times New Roman" w:cs="Times New Roman" w:eastAsia="等线" w:hAnsi="Times New Roman"/>
          <w:lang w:val="en-US"/>
        </w:rPr>
        <w:tab/>
      </w:r>
      <w:r>
        <w:rPr>
          <w:rStyle w:val="style85"/>
          <w:rFonts w:ascii="Times New Roman" w:cs="Times New Roman" w:hAnsi="Times New Roman"/>
        </w:rPr>
        <w:t>Exploitation in ART and Surrogacy Arrangements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_Toc233678295 \h </w:instrText>
      </w:r>
      <w:r>
        <w:rPr>
          <w:rFonts w:ascii="Times New Roman" w:cs="Times New Roman" w:hAnsi="Times New Roman"/>
        </w:rPr>
        <w:fldChar w:fldCharType="separate"/>
      </w:r>
      <w:r>
        <w:rPr>
          <w:rFonts w:ascii="Times New Roman" w:cs="Times New Roman" w:hAnsi="Times New Roman"/>
        </w:rPr>
        <w:t>90</w:t>
      </w:r>
      <w:r>
        <w:rPr>
          <w:rFonts w:ascii="Times New Roman" w:cs="Times New Roman" w:hAnsi="Times New Roman"/>
        </w:rPr>
        <w:fldChar w:fldCharType="end"/>
      </w:r>
      <w:r>
        <w:rPr>
          <w:rFonts w:ascii="Times New Roman" w:cs="Times New Roman" w:hAnsi="Times New Roman"/>
        </w:rPr>
        <w:fldChar w:fldCharType="end"/>
      </w:r>
    </w:p>
    <w:p w14:paraId="5C41B3E4">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"_Toc233678296" </w:instrText>
      </w:r>
      <w:r>
        <w:rPr/>
        <w:fldChar w:fldCharType="separate"/>
      </w:r>
      <w:r>
        <w:rPr>
          <w:rStyle w:val="style85"/>
          <w:rFonts w:ascii="Times New Roman" w:cs="Times New Roman" w:hAnsi="Times New Roman"/>
        </w:rPr>
        <w:t xml:space="preserve">4.3.4 </w:t>
      </w:r>
      <w:r>
        <w:rPr>
          <w:rFonts w:ascii="Times New Roman" w:cs="Times New Roman" w:eastAsia="等线" w:hAnsi="Times New Roman"/>
          <w:lang w:val="en-US"/>
        </w:rPr>
        <w:tab/>
      </w:r>
      <w:r>
        <w:rPr>
          <w:rStyle w:val="style85"/>
          <w:rFonts w:ascii="Times New Roman" w:cs="Times New Roman" w:hAnsi="Times New Roman"/>
        </w:rPr>
        <w:t>Cross-Border Surrogacy and Conflict of Laws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_Toc233678296 \h </w:instrText>
      </w:r>
      <w:r>
        <w:rPr>
          <w:rFonts w:ascii="Times New Roman" w:cs="Times New Roman" w:hAnsi="Times New Roman"/>
        </w:rPr>
        <w:fldChar w:fldCharType="separate"/>
      </w:r>
      <w:r>
        <w:rPr>
          <w:rFonts w:ascii="Times New Roman" w:cs="Times New Roman" w:hAnsi="Times New Roman"/>
        </w:rPr>
        <w:t>91</w:t>
      </w:r>
      <w:r>
        <w:rPr>
          <w:rFonts w:ascii="Times New Roman" w:cs="Times New Roman" w:hAnsi="Times New Roman"/>
        </w:rPr>
        <w:fldChar w:fldCharType="end"/>
      </w:r>
      <w:r>
        <w:rPr>
          <w:rFonts w:ascii="Times New Roman" w:cs="Times New Roman" w:hAnsi="Times New Roman"/>
        </w:rPr>
        <w:fldChar w:fldCharType="end"/>
      </w:r>
    </w:p>
    <w:p w14:paraId="656E6CF4">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"_Toc233678297" </w:instrText>
      </w:r>
      <w:r>
        <w:rPr/>
        <w:fldChar w:fldCharType="separate"/>
      </w:r>
      <w:r>
        <w:rPr>
          <w:rStyle w:val="style85"/>
          <w:rFonts w:ascii="Times New Roman" w:cs="Times New Roman" w:hAnsi="Times New Roman"/>
        </w:rPr>
        <w:t xml:space="preserve">4.3.5 </w:t>
      </w:r>
      <w:r>
        <w:rPr>
          <w:rFonts w:ascii="Times New Roman" w:cs="Times New Roman" w:eastAsia="等线" w:hAnsi="Times New Roman"/>
          <w:lang w:val="en-US"/>
        </w:rPr>
        <w:tab/>
      </w:r>
      <w:r>
        <w:rPr>
          <w:rStyle w:val="style85"/>
          <w:rFonts w:ascii="Times New Roman" w:cs="Times New Roman" w:hAnsi="Times New Roman"/>
        </w:rPr>
        <w:t>Regulatory and Compliance Challenges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_Toc233678297 \h </w:instrText>
      </w:r>
      <w:r>
        <w:rPr>
          <w:rFonts w:ascii="Times New Roman" w:cs="Times New Roman" w:hAnsi="Times New Roman"/>
        </w:rPr>
        <w:fldChar w:fldCharType="separate"/>
      </w:r>
      <w:r>
        <w:rPr>
          <w:rFonts w:ascii="Times New Roman" w:cs="Times New Roman" w:hAnsi="Times New Roman"/>
        </w:rPr>
        <w:t>91</w:t>
      </w:r>
      <w:r>
        <w:rPr>
          <w:rFonts w:ascii="Times New Roman" w:cs="Times New Roman" w:hAnsi="Times New Roman"/>
        </w:rPr>
        <w:fldChar w:fldCharType="end"/>
      </w:r>
      <w:r>
        <w:rPr>
          <w:rFonts w:ascii="Times New Roman" w:cs="Times New Roman" w:hAnsi="Times New Roman"/>
        </w:rPr>
        <w:fldChar w:fldCharType="end"/>
      </w:r>
    </w:p>
    <w:p w14:paraId="5F30933D">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"_Toc233678298" </w:instrText>
      </w:r>
      <w:r>
        <w:rPr/>
        <w:fldChar w:fldCharType="separate"/>
      </w:r>
      <w:r>
        <w:rPr>
          <w:rStyle w:val="style85"/>
          <w:rFonts w:ascii="Times New Roman" w:cs="Times New Roman" w:hAnsi="Times New Roman"/>
        </w:rPr>
        <w:t xml:space="preserve">4.3.6 </w:t>
      </w:r>
      <w:r>
        <w:rPr>
          <w:rFonts w:ascii="Times New Roman" w:cs="Times New Roman" w:eastAsia="等线" w:hAnsi="Times New Roman"/>
          <w:lang w:val="en-US"/>
        </w:rPr>
        <w:tab/>
      </w:r>
      <w:r>
        <w:rPr>
          <w:rStyle w:val="style85"/>
          <w:rFonts w:ascii="Times New Roman" w:cs="Times New Roman" w:hAnsi="Times New Roman"/>
        </w:rPr>
        <w:t>Gaps in Legal Protection and Access to Remedies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_Toc233678298 \h </w:instrText>
      </w:r>
      <w:r>
        <w:rPr>
          <w:rFonts w:ascii="Times New Roman" w:cs="Times New Roman" w:hAnsi="Times New Roman"/>
        </w:rPr>
        <w:fldChar w:fldCharType="separate"/>
      </w:r>
      <w:r>
        <w:rPr>
          <w:rFonts w:ascii="Times New Roman" w:cs="Times New Roman" w:hAnsi="Times New Roman"/>
        </w:rPr>
        <w:t>92</w:t>
      </w:r>
      <w:r>
        <w:rPr>
          <w:rFonts w:ascii="Times New Roman" w:cs="Times New Roman" w:hAnsi="Times New Roman"/>
        </w:rPr>
        <w:fldChar w:fldCharType="end"/>
      </w:r>
      <w:r>
        <w:rPr>
          <w:rFonts w:ascii="Times New Roman" w:cs="Times New Roman" w:hAnsi="Times New Roman"/>
        </w:rPr>
        <w:fldChar w:fldCharType="end"/>
      </w:r>
    </w:p>
    <w:p w14:paraId="4A400AF5">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"_Toc233678299" </w:instrText>
      </w:r>
      <w:r>
        <w:rPr/>
        <w:fldChar w:fldCharType="separate"/>
      </w:r>
      <w:r>
        <w:rPr>
          <w:rStyle w:val="style85"/>
          <w:rFonts w:ascii="Times New Roman" w:cs="Times New Roman" w:hAnsi="Times New Roman"/>
          <w:lang w:val="en-US"/>
        </w:rPr>
        <w:t xml:space="preserve">4.3.7 </w:t>
      </w:r>
      <w:r>
        <w:rPr>
          <w:rFonts w:ascii="Times New Roman" w:cs="Times New Roman" w:eastAsia="等线" w:hAnsi="Times New Roman"/>
          <w:lang w:val="en-US"/>
        </w:rPr>
        <w:tab/>
      </w:r>
      <w:r>
        <w:rPr>
          <w:rStyle w:val="style85"/>
          <w:rFonts w:ascii="Times New Roman" w:cs="Times New Roman" w:hAnsi="Times New Roman"/>
          <w:lang w:val="en-US"/>
        </w:rPr>
        <w:t>Influence of Customary and Informal Surrogacy Practices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_Toc233678299 \h </w:instrText>
      </w:r>
      <w:r>
        <w:rPr>
          <w:rFonts w:ascii="Times New Roman" w:cs="Times New Roman" w:hAnsi="Times New Roman"/>
        </w:rPr>
        <w:fldChar w:fldCharType="separate"/>
      </w:r>
      <w:r>
        <w:rPr>
          <w:rFonts w:ascii="Times New Roman" w:cs="Times New Roman" w:hAnsi="Times New Roman"/>
        </w:rPr>
        <w:t>92</w:t>
      </w:r>
      <w:r>
        <w:rPr>
          <w:rFonts w:ascii="Times New Roman" w:cs="Times New Roman" w:hAnsi="Times New Roman"/>
        </w:rPr>
        <w:fldChar w:fldCharType="end"/>
      </w:r>
      <w:r>
        <w:rPr>
          <w:rFonts w:ascii="Times New Roman" w:cs="Times New Roman" w:hAnsi="Times New Roman"/>
        </w:rPr>
        <w:fldChar w:fldCharType="end"/>
      </w:r>
    </w:p>
    <w:p w14:paraId="1650F2F0">
      <w:pPr>
        <w:pStyle w:val="style21"/>
        <w:tabs>
          <w:tab w:val="left" w:leader="none" w:pos="1320"/>
          <w:tab w:val="right" w:leader="dot" w:pos="9017"/>
        </w:tabs>
        <w:rPr>
          <w:rFonts w:ascii="Times New Roman" w:cs="Times New Roman" w:eastAsia="等线" w:hAnsi="Times New Roman"/>
          <w:lang w:val="en-US"/>
        </w:rPr>
      </w:pPr>
      <w:r>
        <w:rPr/>
        <w:fldChar w:fldCharType="begin"/>
      </w:r>
      <w:r>
        <w:instrText xml:space="preserve"> HYPERLINK \l "_Toc233678300" </w:instrText>
      </w:r>
      <w:r>
        <w:rPr/>
        <w:fldChar w:fldCharType="separate"/>
      </w:r>
      <w:r>
        <w:rPr>
          <w:rStyle w:val="style85"/>
          <w:rFonts w:ascii="Times New Roman" w:cs="Times New Roman" w:hAnsi="Times New Roman"/>
          <w:lang w:val="en-US"/>
        </w:rPr>
        <w:t xml:space="preserve">4.3.8 </w:t>
      </w:r>
      <w:r>
        <w:rPr>
          <w:rFonts w:ascii="Times New Roman" w:cs="Times New Roman" w:eastAsia="等线" w:hAnsi="Times New Roman"/>
          <w:lang w:val="en-US"/>
        </w:rPr>
        <w:tab/>
      </w:r>
      <w:r>
        <w:rPr>
          <w:rStyle w:val="style85"/>
          <w:rFonts w:ascii="Times New Roman" w:cs="Times New Roman" w:hAnsi="Times New Roman"/>
          <w:lang w:val="en-US"/>
        </w:rPr>
        <w:t>Religious and Cultural Perceptions of Surrogacy in Nigeria</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_Toc233678300 \h </w:instrText>
      </w:r>
      <w:r>
        <w:rPr>
          <w:rFonts w:ascii="Times New Roman" w:cs="Times New Roman" w:hAnsi="Times New Roman"/>
        </w:rPr>
        <w:fldChar w:fldCharType="separate"/>
      </w:r>
      <w:r>
        <w:rPr>
          <w:rFonts w:ascii="Times New Roman" w:cs="Times New Roman" w:hAnsi="Times New Roman"/>
        </w:rPr>
        <w:t>93</w:t>
      </w:r>
      <w:r>
        <w:rPr>
          <w:rFonts w:ascii="Times New Roman" w:cs="Times New Roman" w:hAnsi="Times New Roman"/>
        </w:rPr>
        <w:fldChar w:fldCharType="end"/>
      </w:r>
      <w:r>
        <w:rPr>
          <w:rFonts w:ascii="Times New Roman" w:cs="Times New Roman" w:hAnsi="Times New Roman"/>
        </w:rPr>
        <w:fldChar w:fldCharType="end"/>
      </w:r>
    </w:p>
    <w:p w14:paraId="69128B74">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"_Toc233678301" </w:instrText>
      </w:r>
      <w:r>
        <w:rPr/>
        <w:fldChar w:fldCharType="separate"/>
      </w:r>
      <w:r>
        <w:rPr>
          <w:rStyle w:val="style85"/>
          <w:rFonts w:ascii="Times New Roman" w:cs="Times New Roman" w:hAnsi="Times New Roman"/>
        </w:rPr>
        <w:t>CHAPTER FIVE</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_Toc233678301 \h </w:instrText>
      </w:r>
      <w:r>
        <w:rPr>
          <w:rFonts w:ascii="Times New Roman" w:cs="Times New Roman" w:hAnsi="Times New Roman"/>
        </w:rPr>
        <w:fldChar w:fldCharType="separate"/>
      </w:r>
      <w:r>
        <w:rPr>
          <w:rFonts w:ascii="Times New Roman" w:cs="Times New Roman" w:hAnsi="Times New Roman"/>
        </w:rPr>
        <w:t>95</w:t>
      </w:r>
      <w:r>
        <w:rPr>
          <w:rFonts w:ascii="Times New Roman" w:cs="Times New Roman" w:hAnsi="Times New Roman"/>
        </w:rPr>
        <w:fldChar w:fldCharType="end"/>
      </w:r>
      <w:r>
        <w:rPr>
          <w:rFonts w:ascii="Times New Roman" w:cs="Times New Roman" w:hAnsi="Times New Roman"/>
        </w:rPr>
        <w:fldChar w:fldCharType="end"/>
      </w:r>
    </w:p>
    <w:p w14:paraId="274CAEA0">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"_Toc233678302" </w:instrText>
      </w:r>
      <w:r>
        <w:rPr/>
        <w:fldChar w:fldCharType="separate"/>
      </w:r>
      <w:r>
        <w:rPr>
          <w:rStyle w:val="style85"/>
          <w:rFonts w:ascii="Times New Roman" w:cs="Times New Roman" w:hAnsi="Times New Roman"/>
        </w:rPr>
        <w:t>SUMMARY OF FINDINGS, RECOMMENDATION AND CONCLUSION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_Toc233678302 \h </w:instrText>
      </w:r>
      <w:r>
        <w:rPr>
          <w:rFonts w:ascii="Times New Roman" w:cs="Times New Roman" w:hAnsi="Times New Roman"/>
        </w:rPr>
        <w:fldChar w:fldCharType="separate"/>
      </w:r>
      <w:r>
        <w:rPr>
          <w:rFonts w:ascii="Times New Roman" w:cs="Times New Roman" w:hAnsi="Times New Roman"/>
        </w:rPr>
        <w:t>95</w:t>
      </w:r>
      <w:r>
        <w:rPr>
          <w:rFonts w:ascii="Times New Roman" w:cs="Times New Roman" w:hAnsi="Times New Roman"/>
        </w:rPr>
        <w:fldChar w:fldCharType="end"/>
      </w:r>
      <w:r>
        <w:rPr>
          <w:rFonts w:ascii="Times New Roman" w:cs="Times New Roman" w:hAnsi="Times New Roman"/>
        </w:rPr>
        <w:fldChar w:fldCharType="end"/>
      </w:r>
    </w:p>
    <w:p w14:paraId="24F6E873">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"_Toc233678303" </w:instrText>
      </w:r>
      <w:r>
        <w:rPr/>
        <w:fldChar w:fldCharType="separate"/>
      </w:r>
      <w:r>
        <w:rPr>
          <w:rStyle w:val="style85"/>
          <w:rFonts w:ascii="Times New Roman" w:cs="Times New Roman" w:hAnsi="Times New Roman"/>
        </w:rPr>
        <w:t xml:space="preserve">5.1 </w:t>
      </w:r>
      <w:r>
        <w:rPr>
          <w:rFonts w:ascii="Times New Roman" w:cs="Times New Roman" w:eastAsia="等线" w:hAnsi="Times New Roman"/>
          <w:lang w:val="en-US"/>
        </w:rPr>
        <w:tab/>
      </w:r>
      <w:r>
        <w:rPr>
          <w:rStyle w:val="style85"/>
          <w:rFonts w:ascii="Times New Roman" w:cs="Times New Roman" w:hAnsi="Times New Roman"/>
        </w:rPr>
        <w:t>Summary of Findings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_Toc233678303 \h </w:instrText>
      </w:r>
      <w:r>
        <w:rPr>
          <w:rFonts w:ascii="Times New Roman" w:cs="Times New Roman" w:hAnsi="Times New Roman"/>
        </w:rPr>
        <w:fldChar w:fldCharType="separate"/>
      </w:r>
      <w:r>
        <w:rPr>
          <w:rFonts w:ascii="Times New Roman" w:cs="Times New Roman" w:hAnsi="Times New Roman"/>
        </w:rPr>
        <w:t>95</w:t>
      </w:r>
      <w:r>
        <w:rPr>
          <w:rFonts w:ascii="Times New Roman" w:cs="Times New Roman" w:hAnsi="Times New Roman"/>
        </w:rPr>
        <w:fldChar w:fldCharType="end"/>
      </w:r>
      <w:r>
        <w:rPr>
          <w:rFonts w:ascii="Times New Roman" w:cs="Times New Roman" w:hAnsi="Times New Roman"/>
        </w:rPr>
        <w:fldChar w:fldCharType="end"/>
      </w:r>
    </w:p>
    <w:p w14:paraId="5D2E15F6">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"_Toc233678304" </w:instrText>
      </w:r>
      <w:r>
        <w:rPr/>
        <w:fldChar w:fldCharType="separate"/>
      </w:r>
      <w:r>
        <w:rPr>
          <w:rStyle w:val="style85"/>
          <w:rFonts w:ascii="Times New Roman" w:cs="Times New Roman" w:hAnsi="Times New Roman"/>
          <w:lang w:val="en-US"/>
        </w:rPr>
        <w:t xml:space="preserve">5.2 </w:t>
      </w:r>
      <w:r>
        <w:rPr>
          <w:rFonts w:ascii="Times New Roman" w:cs="Times New Roman" w:eastAsia="等线" w:hAnsi="Times New Roman"/>
          <w:lang w:val="en-US"/>
        </w:rPr>
        <w:tab/>
      </w:r>
      <w:r>
        <w:rPr>
          <w:rStyle w:val="style85"/>
          <w:rFonts w:ascii="Times New Roman" w:cs="Times New Roman" w:hAnsi="Times New Roman"/>
          <w:lang w:val="en-US"/>
        </w:rPr>
        <w:t>Recommendations</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_Toc233678304 \h </w:instrText>
      </w:r>
      <w:r>
        <w:rPr>
          <w:rFonts w:ascii="Times New Roman" w:cs="Times New Roman" w:hAnsi="Times New Roman"/>
        </w:rPr>
        <w:fldChar w:fldCharType="separate"/>
      </w:r>
      <w:r>
        <w:rPr>
          <w:rFonts w:ascii="Times New Roman" w:cs="Times New Roman" w:hAnsi="Times New Roman"/>
        </w:rPr>
        <w:t>96</w:t>
      </w:r>
      <w:r>
        <w:rPr>
          <w:rFonts w:ascii="Times New Roman" w:cs="Times New Roman" w:hAnsi="Times New Roman"/>
        </w:rPr>
        <w:fldChar w:fldCharType="end"/>
      </w:r>
      <w:r>
        <w:rPr>
          <w:rFonts w:ascii="Times New Roman" w:cs="Times New Roman" w:hAnsi="Times New Roman"/>
        </w:rPr>
        <w:fldChar w:fldCharType="end"/>
      </w:r>
    </w:p>
    <w:p w14:paraId="4D81DE65">
      <w:pPr>
        <w:pStyle w:val="style20"/>
        <w:tabs>
          <w:tab w:val="left" w:leader="none" w:pos="880"/>
          <w:tab w:val="right" w:leader="dot" w:pos="9017"/>
        </w:tabs>
        <w:rPr>
          <w:rFonts w:ascii="Times New Roman" w:cs="Times New Roman" w:eastAsia="等线" w:hAnsi="Times New Roman"/>
          <w:lang w:val="en-US"/>
        </w:rPr>
      </w:pPr>
      <w:r>
        <w:rPr/>
        <w:fldChar w:fldCharType="begin"/>
      </w:r>
      <w:r>
        <w:instrText xml:space="preserve"> HYPERLINK \l "_Toc233678305" </w:instrText>
      </w:r>
      <w:r>
        <w:rPr/>
        <w:fldChar w:fldCharType="separate"/>
      </w:r>
      <w:r>
        <w:rPr>
          <w:rStyle w:val="style85"/>
          <w:rFonts w:ascii="Times New Roman" w:cs="Times New Roman" w:hAnsi="Times New Roman"/>
          <w:lang w:val="en-US"/>
        </w:rPr>
        <w:t xml:space="preserve">5.3 </w:t>
      </w:r>
      <w:r>
        <w:rPr>
          <w:rFonts w:ascii="Times New Roman" w:cs="Times New Roman" w:eastAsia="等线" w:hAnsi="Times New Roman"/>
          <w:lang w:val="en-US"/>
        </w:rPr>
        <w:tab/>
      </w:r>
      <w:r>
        <w:rPr>
          <w:rStyle w:val="style85"/>
          <w:rFonts w:ascii="Times New Roman" w:cs="Times New Roman" w:hAnsi="Times New Roman"/>
          <w:lang w:val="en-US"/>
        </w:rPr>
        <w:t>Conclusion</w:t>
      </w:r>
      <w:r>
        <w:rPr>
          <w:rFonts w:ascii="Times New Roman" w:cs="Times New Roman" w:hAnsi="Times New Roman"/>
        </w:rPr>
        <w:tab/>
      </w:r>
      <w:r>
        <w:rPr>
          <w:rFonts w:ascii="Times New Roman" w:cs="Times New Roman" w:hAnsi="Times New Roman"/>
        </w:rPr>
        <w:fldChar w:fldCharType="begin"/>
      </w:r>
      <w:r>
        <w:rPr>
          <w:rFonts w:ascii="Times New Roman" w:cs="Times New Roman" w:hAnsi="Times New Roman"/>
        </w:rPr>
        <w:instrText xml:space="preserve"> PAGEREF _Toc233678305 \h </w:instrText>
      </w:r>
      <w:r>
        <w:rPr>
          <w:rFonts w:ascii="Times New Roman" w:cs="Times New Roman" w:hAnsi="Times New Roman"/>
        </w:rPr>
        <w:fldChar w:fldCharType="separate"/>
      </w:r>
      <w:r>
        <w:rPr>
          <w:rFonts w:ascii="Times New Roman" w:cs="Times New Roman" w:hAnsi="Times New Roman"/>
        </w:rPr>
        <w:t>100</w:t>
      </w:r>
      <w:r>
        <w:rPr>
          <w:rFonts w:ascii="Times New Roman" w:cs="Times New Roman" w:hAnsi="Times New Roman"/>
        </w:rPr>
        <w:fldChar w:fldCharType="end"/>
      </w:r>
      <w:r>
        <w:rPr>
          <w:rFonts w:ascii="Times New Roman" w:cs="Times New Roman" w:hAnsi="Times New Roman"/>
        </w:rPr>
        <w:fldChar w:fldCharType="end"/>
      </w:r>
    </w:p>
    <w:p w14:paraId="15F377F9">
      <w:pPr>
        <w:pStyle w:val="style19"/>
        <w:tabs>
          <w:tab w:val="right" w:leader="dot" w:pos="9017"/>
        </w:tabs>
        <w:rPr>
          <w:rFonts w:ascii="Times New Roman" w:cs="Times New Roman" w:eastAsia="等线" w:hAnsi="Times New Roman"/>
          <w:lang w:val="en-US"/>
        </w:rPr>
      </w:pPr>
      <w:r>
        <w:rPr/>
        <w:fldChar w:fldCharType="begin"/>
      </w:r>
      <w:r>
        <w:instrText xml:space="preserve"> HYPERLINK \l "_Toc233678306" </w:instrText>
      </w:r>
      <w:r>
        <w:rPr/>
        <w:fldChar w:fldCharType="separate"/>
      </w:r>
      <w:r>
        <w:rPr>
          <w:rStyle w:val="style85"/>
          <w:rFonts w:ascii="Times New Roman" w:cs="Times New Roman" w:hAnsi="Times New Roman"/>
        </w:rPr>
        <w:t>BIBLIOGRAPHY</w:t>
      </w:r>
      <w:r>
        <w:rPr>
          <w:rStyle w:val="style85"/>
          <w:rFonts w:ascii="Times New Roman" w:cs="Times New Roman" w:hAnsi="Times New Roman"/>
        </w:rPr>
        <w:fldChar w:fldCharType="end"/>
      </w:r>
    </w:p>
    <w:p w14:paraId="57AD5392">
      <w:pPr>
        <w:pStyle w:val="style0"/>
        <w:rPr>
          <w:rFonts w:ascii="Times New Roman" w:cs="Times New Roman" w:hAnsi="Times New Roman"/>
        </w:rPr>
      </w:pPr>
      <w:r>
        <w:rPr>
          <w:rFonts w:ascii="Times New Roman" w:cs="Times New Roman" w:hAnsi="Times New Roman"/>
        </w:rPr>
        <w:fldChar w:fldCharType="end"/>
      </w:r>
    </w:p>
    <w:p w14:paraId="65A88799">
      <w:pPr>
        <w:pStyle w:val="style0"/>
        <w:spacing w:lineRule="auto" w:line="360"/>
        <w:jc w:val="both"/>
        <w:rPr>
          <w:rFonts w:ascii="Times New Roman" w:cs="Times New Roman" w:hAnsi="Times New Roman"/>
          <w:sz w:val="24"/>
          <w:szCs w:val="24"/>
        </w:rPr>
      </w:pPr>
    </w:p>
    <w:p w14:paraId="6CB3E4DF">
      <w:pPr>
        <w:pStyle w:val="style0"/>
        <w:spacing w:lineRule="auto" w:line="360"/>
        <w:jc w:val="both"/>
        <w:rPr>
          <w:rFonts w:ascii="Times New Roman" w:cs="Times New Roman" w:hAnsi="Times New Roman"/>
          <w:sz w:val="24"/>
          <w:szCs w:val="24"/>
        </w:rPr>
      </w:pPr>
    </w:p>
    <w:p w14:paraId="6B5A5A8A">
      <w:pPr>
        <w:pStyle w:val="style0"/>
        <w:spacing w:lineRule="auto" w:line="360"/>
        <w:jc w:val="both"/>
        <w:rPr>
          <w:rFonts w:ascii="Times New Roman" w:cs="Times New Roman" w:hAnsi="Times New Roman"/>
          <w:sz w:val="24"/>
          <w:szCs w:val="24"/>
        </w:rPr>
      </w:pPr>
    </w:p>
    <w:p w14:paraId="07D3E83E">
      <w:pPr>
        <w:pStyle w:val="style0"/>
        <w:spacing w:lineRule="auto" w:line="360"/>
        <w:jc w:val="both"/>
        <w:rPr>
          <w:rFonts w:ascii="Times New Roman" w:cs="Times New Roman" w:hAnsi="Times New Roman"/>
          <w:sz w:val="24"/>
          <w:szCs w:val="24"/>
        </w:rPr>
      </w:pPr>
    </w:p>
    <w:p w14:paraId="3569FCBF">
      <w:pPr>
        <w:pStyle w:val="style0"/>
        <w:spacing w:lineRule="auto" w:line="360"/>
        <w:jc w:val="both"/>
        <w:rPr>
          <w:rFonts w:ascii="Times New Roman" w:cs="Times New Roman" w:hAnsi="Times New Roman"/>
          <w:sz w:val="24"/>
          <w:szCs w:val="24"/>
        </w:rPr>
      </w:pPr>
    </w:p>
    <w:p w14:paraId="0943844B">
      <w:pPr>
        <w:pStyle w:val="style0"/>
        <w:spacing w:lineRule="auto" w:line="360"/>
        <w:jc w:val="both"/>
        <w:rPr>
          <w:rFonts w:ascii="Times New Roman" w:cs="Times New Roman" w:hAnsi="Times New Roman"/>
          <w:sz w:val="24"/>
          <w:szCs w:val="24"/>
        </w:rPr>
      </w:pPr>
    </w:p>
    <w:p w14:paraId="12BC50E2">
      <w:pPr>
        <w:pStyle w:val="style0"/>
        <w:spacing w:lineRule="auto" w:line="360"/>
        <w:jc w:val="both"/>
        <w:rPr>
          <w:rFonts w:ascii="Times New Roman" w:cs="Times New Roman" w:hAnsi="Times New Roman"/>
          <w:sz w:val="24"/>
          <w:szCs w:val="24"/>
        </w:rPr>
      </w:pPr>
    </w:p>
    <w:p w14:paraId="52AD7FA7">
      <w:pPr>
        <w:pStyle w:val="style0"/>
        <w:spacing w:lineRule="auto" w:line="360"/>
        <w:jc w:val="both"/>
        <w:rPr>
          <w:rFonts w:ascii="Times New Roman" w:cs="Times New Roman" w:hAnsi="Times New Roman"/>
          <w:sz w:val="24"/>
          <w:szCs w:val="24"/>
        </w:rPr>
      </w:pPr>
    </w:p>
    <w:p w14:paraId="12DD946B">
      <w:pPr>
        <w:pStyle w:val="style0"/>
        <w:spacing w:lineRule="auto" w:line="360"/>
        <w:jc w:val="both"/>
        <w:rPr>
          <w:rFonts w:ascii="Times New Roman" w:cs="Times New Roman" w:hAnsi="Times New Roman"/>
          <w:sz w:val="24"/>
          <w:szCs w:val="24"/>
        </w:rPr>
      </w:pPr>
    </w:p>
    <w:p w14:paraId="7E2953B2">
      <w:pPr>
        <w:pStyle w:val="style0"/>
        <w:spacing w:lineRule="auto" w:line="360"/>
        <w:jc w:val="both"/>
        <w:rPr>
          <w:rFonts w:ascii="Times New Roman" w:cs="Times New Roman" w:hAnsi="Times New Roman"/>
          <w:sz w:val="24"/>
          <w:szCs w:val="24"/>
        </w:rPr>
      </w:pPr>
    </w:p>
    <w:p w14:paraId="727BA6E3">
      <w:pPr>
        <w:pStyle w:val="style0"/>
        <w:spacing w:lineRule="auto" w:line="360"/>
        <w:jc w:val="both"/>
        <w:rPr>
          <w:rFonts w:ascii="Times New Roman" w:cs="Times New Roman" w:hAnsi="Times New Roman"/>
          <w:sz w:val="24"/>
          <w:szCs w:val="24"/>
        </w:rPr>
      </w:pPr>
    </w:p>
    <w:p w14:paraId="35DEFACA">
      <w:pPr>
        <w:pStyle w:val="style0"/>
        <w:spacing w:lineRule="auto" w:line="360"/>
        <w:jc w:val="both"/>
        <w:rPr>
          <w:rFonts w:ascii="Times New Roman" w:cs="Times New Roman" w:hAnsi="Times New Roman"/>
          <w:sz w:val="24"/>
          <w:szCs w:val="24"/>
        </w:rPr>
      </w:pPr>
    </w:p>
    <w:p w14:paraId="6F63B20E">
      <w:pPr>
        <w:pStyle w:val="style0"/>
        <w:spacing w:lineRule="auto" w:line="360"/>
        <w:jc w:val="both"/>
        <w:rPr>
          <w:rFonts w:ascii="Times New Roman" w:cs="Times New Roman" w:hAnsi="Times New Roman"/>
          <w:sz w:val="24"/>
          <w:szCs w:val="24"/>
        </w:rPr>
      </w:pPr>
    </w:p>
    <w:p w14:paraId="7046A8F2">
      <w:pPr>
        <w:pStyle w:val="style0"/>
        <w:spacing w:lineRule="auto" w:line="360"/>
        <w:jc w:val="both"/>
        <w:rPr>
          <w:rFonts w:ascii="Times New Roman" w:cs="Times New Roman" w:hAnsi="Times New Roman"/>
          <w:sz w:val="24"/>
          <w:szCs w:val="24"/>
        </w:rPr>
      </w:pPr>
    </w:p>
    <w:p w14:paraId="1A8B2B52">
      <w:pPr>
        <w:pStyle w:val="style0"/>
        <w:spacing w:lineRule="auto" w:line="360"/>
        <w:jc w:val="both"/>
        <w:rPr>
          <w:rFonts w:ascii="Times New Roman" w:cs="Times New Roman" w:hAnsi="Times New Roman"/>
          <w:sz w:val="24"/>
          <w:szCs w:val="24"/>
        </w:rPr>
      </w:pPr>
    </w:p>
    <w:p w14:paraId="5320AB7C">
      <w:pPr>
        <w:pStyle w:val="style0"/>
        <w:spacing w:lineRule="auto" w:line="360"/>
        <w:jc w:val="both"/>
        <w:rPr>
          <w:rFonts w:ascii="Times New Roman" w:cs="Times New Roman" w:hAnsi="Times New Roman"/>
          <w:sz w:val="24"/>
          <w:szCs w:val="24"/>
        </w:rPr>
      </w:pPr>
    </w:p>
    <w:p w14:paraId="0F2004E3">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47EEAA83">
      <w:pPr>
        <w:pStyle w:val="style0"/>
        <w:rPr>
          <w:rFonts w:ascii="Times New Roman" w:cs="Times New Roman" w:hAnsi="Times New Roman"/>
          <w:sz w:val="24"/>
          <w:szCs w:val="24"/>
        </w:rPr>
      </w:pPr>
      <w:r>
        <w:rPr>
          <w:rFonts w:ascii="Times New Roman" w:cs="Times New Roman" w:hAnsi="Times New Roman"/>
          <w:sz w:val="24"/>
          <w:szCs w:val="24"/>
        </w:rPr>
        <w:br w:type="page"/>
      </w:r>
    </w:p>
    <w:bookmarkStart w:id="5" w:name="_Toc233678210"/>
    <w:p w14:paraId="1ECEF40D">
      <w:pPr>
        <w:pStyle w:val="style1"/>
        <w:rPr/>
      </w:pPr>
      <w:r>
        <w:t>LIST OF CASES</w:t>
      </w:r>
      <w:bookmarkEnd w:id="5"/>
    </w:p>
    <w:p w14:paraId="0D8C413A">
      <w:pPr>
        <w:pStyle w:val="style94"/>
        <w:spacing w:beforeAutospacing="false" w:afterAutospacing="false"/>
        <w:rPr/>
      </w:pPr>
      <w:r>
        <w:t xml:space="preserve"> AB v Minister of Social Development [2016] ZACC 43 ..................................................... 5, 6</w:t>
      </w:r>
    </w:p>
    <w:p w14:paraId="50C2D899">
      <w:pPr>
        <w:pStyle w:val="style94"/>
        <w:spacing w:beforeAutospacing="false" w:afterAutospacing="false"/>
        <w:rPr/>
      </w:pPr>
      <w:r>
        <w:t>Anozia v Patricia Nnani &amp; Anor [2015] NGCA 15 ........................... 22, 23, 29, 54, 57, 76, 82</w:t>
      </w:r>
    </w:p>
    <w:p w14:paraId="7C816100">
      <w:pPr>
        <w:pStyle w:val="style94"/>
        <w:spacing w:beforeAutospacing="false" w:afterAutospacing="false"/>
        <w:rPr/>
      </w:pPr>
      <w:r>
        <w:t>Imoru v Kadiri (1991) 4 NWLR (Pt 185) 303 .................................................................. 22, 23</w:t>
      </w:r>
    </w:p>
    <w:p w14:paraId="0E55AACC">
      <w:pPr>
        <w:pStyle w:val="style94"/>
        <w:spacing w:beforeAutospacing="false" w:afterAutospacing="false"/>
        <w:rPr/>
      </w:pPr>
      <w:r>
        <w:t>In re Baby M 537 A 2d 1227 (NJ 1988) ................................................. 3, 4, 22, 26, 32, 33, 43</w:t>
      </w:r>
    </w:p>
    <w:p w14:paraId="790D0CC2">
      <w:pPr>
        <w:pStyle w:val="style94"/>
        <w:spacing w:beforeAutospacing="false" w:afterAutospacing="false"/>
        <w:rPr/>
      </w:pPr>
      <w:r>
        <w:t>Johnson v Calvert 19 Cal Rptr 2d 494; 5 Cal 4th 84; 851 P 2d 776 (1993) ............................................................................... 22, 26, 27, 28, 29, 32, 33, 34, 39, 43, 52, 90</w:t>
      </w:r>
    </w:p>
    <w:p w14:paraId="74820440">
      <w:pPr>
        <w:pStyle w:val="style94"/>
        <w:spacing w:beforeAutospacing="false" w:afterAutospacing="false"/>
        <w:rPr/>
      </w:pPr>
      <w:r>
        <w:t>Michael H v Gerald D 491 US 110 (1989) .............................................................................. 3</w:t>
      </w:r>
    </w:p>
    <w:p w14:paraId="0341889E">
      <w:pPr>
        <w:pStyle w:val="style94"/>
        <w:spacing w:beforeAutospacing="false" w:afterAutospacing="false"/>
        <w:rPr/>
      </w:pPr>
      <w:r>
        <w:t>Mojekwu v Mojekwu [1997] 7 NWLR (Pt 512) 283 ........................................... 37, 54, 76, 87</w:t>
      </w:r>
    </w:p>
    <w:p w14:paraId="251845EA">
      <w:pPr>
        <w:pStyle w:val="style94"/>
        <w:spacing w:beforeAutospacing="false" w:afterAutospacing="false"/>
        <w:rPr/>
      </w:pPr>
      <w:r>
        <w:t>Re C (A Minor) (Surrogacy) [1985] 2 FLR 846 (Fam Div) ................................................ 3, 4</w:t>
      </w:r>
    </w:p>
    <w:p w14:paraId="428DC298">
      <w:pPr>
        <w:pStyle w:val="style94"/>
        <w:spacing w:beforeAutospacing="false" w:afterAutospacing="false"/>
        <w:rPr/>
      </w:pPr>
      <w:r>
        <w:t>Re G (Children) [2006] UKHL 43 ........................................................................................... 3</w:t>
      </w:r>
    </w:p>
    <w:p w14:paraId="6BD35A90">
      <w:pPr>
        <w:pStyle w:val="style94"/>
        <w:spacing w:beforeAutospacing="false" w:afterAutospacing="false"/>
        <w:rPr/>
      </w:pPr>
      <w:r>
        <w:t>Re P (Surrogacy: Residence) [2008] EWFC 38 ....................................................................... 4</w:t>
      </w:r>
    </w:p>
    <w:p w14:paraId="59F33F68">
      <w:pPr>
        <w:pStyle w:val="style94"/>
        <w:spacing w:beforeAutospacing="false" w:afterAutospacing="false"/>
        <w:rPr/>
      </w:pPr>
      <w:r>
        <w:t>Re X (A Child) (Surrogacy: Time Limit) [2014] EWHC 3135 (Fam) ............................ 84, 85</w:t>
      </w:r>
    </w:p>
    <w:p w14:paraId="5C3E9CA4">
      <w:pPr>
        <w:pStyle w:val="style94"/>
        <w:spacing w:beforeAutospacing="false" w:afterAutospacing="false"/>
        <w:rPr/>
      </w:pPr>
      <w:r>
        <w:t>Ukeje v Ukeje [2014] 11 NWLR (Pt 1418) 384 ...................................... 37, 54, 59, 76, 86, 87</w:t>
      </w:r>
    </w:p>
    <w:p w14:paraId="626E820B">
      <w:pPr>
        <w:pStyle w:val="style94"/>
        <w:spacing w:beforeAutospacing="false" w:afterAutospacing="false"/>
        <w:rPr/>
      </w:pPr>
      <w:r>
        <w:t>Williams v Williams [1987] 2 NWLR (Pt 54) 66 (SC) ............................ 23, 37, 46, 55, 76, 81</w:t>
      </w:r>
    </w:p>
    <w:p w14:paraId="362E21FD">
      <w:pPr>
        <w:pStyle w:val="style0"/>
        <w:spacing w:lineRule="auto" w:line="360"/>
        <w:jc w:val="both"/>
        <w:rPr>
          <w:rFonts w:ascii="Times New Roman" w:cs="Times New Roman" w:hAnsi="Times New Roman"/>
          <w:sz w:val="24"/>
          <w:szCs w:val="24"/>
        </w:rPr>
      </w:pPr>
    </w:p>
    <w:p w14:paraId="13735B83">
      <w:pPr>
        <w:pStyle w:val="style0"/>
        <w:spacing w:lineRule="auto" w:line="360"/>
        <w:jc w:val="both"/>
        <w:rPr>
          <w:rFonts w:ascii="Times New Roman" w:cs="Times New Roman" w:hAnsi="Times New Roman"/>
          <w:sz w:val="24"/>
          <w:szCs w:val="24"/>
        </w:rPr>
      </w:pPr>
    </w:p>
    <w:p w14:paraId="5ADC875A">
      <w:pPr>
        <w:pStyle w:val="style0"/>
        <w:spacing w:lineRule="auto" w:line="360"/>
        <w:jc w:val="both"/>
        <w:rPr>
          <w:rFonts w:ascii="Times New Roman" w:cs="Times New Roman" w:hAnsi="Times New Roman"/>
          <w:sz w:val="24"/>
          <w:szCs w:val="24"/>
        </w:rPr>
      </w:pPr>
    </w:p>
    <w:p w14:paraId="29DA379C">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6B766428">
      <w:pPr>
        <w:pStyle w:val="style0"/>
        <w:rPr>
          <w:rFonts w:ascii="Times New Roman" w:cs="Times New Roman" w:hAnsi="Times New Roman"/>
          <w:sz w:val="24"/>
          <w:szCs w:val="24"/>
        </w:rPr>
      </w:pPr>
      <w:r>
        <w:rPr>
          <w:rFonts w:ascii="Times New Roman" w:cs="Times New Roman" w:hAnsi="Times New Roman"/>
          <w:sz w:val="24"/>
          <w:szCs w:val="24"/>
        </w:rPr>
        <w:br w:type="page"/>
      </w:r>
    </w:p>
    <w:bookmarkStart w:id="6" w:name="_Toc233678211"/>
    <w:p w14:paraId="596EEB4B">
      <w:pPr>
        <w:pStyle w:val="style1"/>
        <w:rPr/>
      </w:pPr>
      <w:r>
        <w:t>LIST OF STATUTES, TREATIES AND OTHER INTERNATIONAL INSTRUMENTS</w:t>
      </w:r>
      <w:bookmarkEnd w:id="6"/>
    </w:p>
    <w:p w14:paraId="05E08395">
      <w:pPr>
        <w:pStyle w:val="style94"/>
        <w:spacing w:beforeAutospacing="false" w:afterAutospacing="false"/>
        <w:rPr/>
      </w:pPr>
      <w:r>
        <w:t>African Charter on Human and Peoples’ Rights 1981 .................................................... 61, 78</w:t>
      </w:r>
    </w:p>
    <w:p w14:paraId="4855B673">
      <w:pPr>
        <w:pStyle w:val="style94"/>
        <w:spacing w:beforeAutospacing="false" w:afterAutospacing="false"/>
        <w:rPr/>
      </w:pPr>
      <w:r>
        <w:t>African Charter on the Rights and Welfare of the Child 1990 ................................... 60, 61, 78</w:t>
      </w:r>
    </w:p>
    <w:p w14:paraId="642C5D8B">
      <w:pPr>
        <w:pStyle w:val="style94"/>
        <w:spacing w:beforeAutospacing="false" w:afterAutospacing="false"/>
        <w:rPr/>
      </w:pPr>
      <w:r>
        <w:t>Assisted Reproductive Technology (Regulation) Bill 2016 ..................... 26, 27, 31, 40, 45, 74</w:t>
      </w:r>
    </w:p>
    <w:p w14:paraId="4CAF743F">
      <w:pPr>
        <w:pStyle w:val="style94"/>
        <w:spacing w:beforeAutospacing="false" w:afterAutospacing="false"/>
        <w:rPr/>
      </w:pPr>
      <w:r>
        <w:t>Births, Deaths, etc. (Compulsory Registration) Act ....................... 9, 23, 38, 58, 67, 80, 85, 97</w:t>
      </w:r>
    </w:p>
    <w:p w14:paraId="432D2FDE">
      <w:pPr>
        <w:pStyle w:val="style94"/>
        <w:spacing w:beforeAutospacing="false" w:afterAutospacing="false"/>
        <w:rPr/>
      </w:pPr>
      <w:r>
        <w:t>Child Rights Act 2003.................................. 1, 4, 21, 23, 25, 36, 37, 38, 46, 48, 51, 55, 80, 87</w:t>
      </w:r>
    </w:p>
    <w:p w14:paraId="71E57B92">
      <w:pPr>
        <w:pStyle w:val="style94"/>
        <w:spacing w:beforeAutospacing="false" w:afterAutospacing="false"/>
        <w:rPr/>
      </w:pPr>
      <w:r>
        <w:t>Children’s Act 38 of 2005 (South Africa) ........................................................... 68, 69, 70, 95</w:t>
      </w:r>
    </w:p>
    <w:p w14:paraId="648A3619">
      <w:pPr>
        <w:pStyle w:val="style94"/>
        <w:spacing w:beforeAutospacing="false" w:afterAutospacing="false"/>
        <w:rPr/>
      </w:pPr>
      <w:r>
        <w:t>Constitution of the Federal Republic of Nigeria 1999 (as amended) ............................................................................................... 4, 9, 21, 23, 25, 37, 48, 53, 54, 86</w:t>
      </w:r>
    </w:p>
    <w:p w14:paraId="16F69080">
      <w:pPr>
        <w:pStyle w:val="style94"/>
        <w:spacing w:beforeAutospacing="false" w:afterAutospacing="false"/>
        <w:rPr/>
      </w:pPr>
      <w:r>
        <w:t>Convention on the Rights of the Child 1989 ............................................... 3, 9, 30, 36, 38, 60</w:t>
      </w:r>
    </w:p>
    <w:p w14:paraId="49D40A0E">
      <w:pPr>
        <w:pStyle w:val="style94"/>
        <w:spacing w:beforeAutospacing="false" w:afterAutospacing="false"/>
        <w:rPr/>
      </w:pPr>
      <w:r>
        <w:t>European Convention on Human Rights 1950 ...................................................................... 53</w:t>
      </w:r>
    </w:p>
    <w:p w14:paraId="3A443AFE">
      <w:pPr>
        <w:pStyle w:val="style94"/>
        <w:spacing w:beforeAutospacing="false" w:afterAutospacing="false"/>
        <w:rPr/>
      </w:pPr>
      <w:r>
        <w:t>Evidence Act 2011 ......................................................... 1, 4, 9, 21, 25, 39, 48, 56, 57, 67, 80, 83</w:t>
      </w:r>
    </w:p>
    <w:p w14:paraId="79AEA6B7">
      <w:pPr>
        <w:pStyle w:val="style94"/>
        <w:spacing w:beforeAutospacing="false" w:afterAutospacing="false"/>
        <w:rPr/>
      </w:pPr>
      <w:r>
        <w:t>HCCH Parentage/Surrogacy Project ................................................................... 25, 86, 87, 91</w:t>
      </w:r>
    </w:p>
    <w:p w14:paraId="113FC5E5">
      <w:pPr>
        <w:pStyle w:val="style94"/>
        <w:spacing w:beforeAutospacing="false" w:afterAutospacing="false"/>
        <w:rPr/>
      </w:pPr>
      <w:r>
        <w:t>Human Fertilisation and Embryology Act 1990 ................................................................... 30</w:t>
      </w:r>
    </w:p>
    <w:p w14:paraId="356A92AD">
      <w:pPr>
        <w:pStyle w:val="style94"/>
        <w:spacing w:beforeAutospacing="false" w:afterAutospacing="false"/>
        <w:rPr/>
      </w:pPr>
      <w:r>
        <w:t>Human Fertilisation and Embryology Act 2008 ........................................................................................... 21, 22, 24, 26, 29, 34, 40, 41, 43, 45</w:t>
      </w:r>
    </w:p>
    <w:p w14:paraId="0EE10E5E">
      <w:pPr>
        <w:pStyle w:val="style94"/>
        <w:spacing w:beforeAutospacing="false" w:afterAutospacing="false"/>
        <w:rPr/>
      </w:pPr>
      <w:r>
        <w:t>International Covenant on Civil and Political Rights 1966 ............................................. 62, 77</w:t>
      </w:r>
    </w:p>
    <w:p w14:paraId="5BA9A578">
      <w:pPr>
        <w:pStyle w:val="style94"/>
        <w:spacing w:beforeAutospacing="false" w:afterAutospacing="false"/>
        <w:rPr/>
      </w:pPr>
      <w:r>
        <w:t>International Covenant on Economic, Social and Cultural Rights 1966 ............................... 62</w:t>
      </w:r>
    </w:p>
    <w:p w14:paraId="5B439962">
      <w:pPr>
        <w:pStyle w:val="style94"/>
        <w:spacing w:beforeAutospacing="false" w:afterAutospacing="false"/>
        <w:rPr/>
      </w:pPr>
      <w:r>
        <w:t>Lagos State Assisted Reproductive Technology Practice Regulations and Guidelines 2019 ................. 2, 25, 63, 74</w:t>
      </w:r>
    </w:p>
    <w:p w14:paraId="10624DAB">
      <w:pPr>
        <w:pStyle w:val="style94"/>
        <w:spacing w:beforeAutospacing="false" w:afterAutospacing="false"/>
        <w:rPr/>
      </w:pPr>
      <w:r>
        <w:t>Matrimonial Causes Act ............................................................... 21, 23, 37, 48, 51, 56, 80, 87</w:t>
      </w:r>
    </w:p>
    <w:p w14:paraId="0D46C81B">
      <w:pPr>
        <w:pStyle w:val="style94"/>
        <w:spacing w:beforeAutospacing="false" w:afterAutospacing="false"/>
        <w:rPr/>
      </w:pPr>
      <w:r>
        <w:t>Matrimonial Causes Rules ..................................................................................................... 56</w:t>
      </w:r>
    </w:p>
    <w:p w14:paraId="42427419">
      <w:pPr>
        <w:pStyle w:val="style94"/>
        <w:spacing w:beforeAutospacing="false" w:afterAutospacing="false"/>
        <w:rPr/>
      </w:pPr>
      <w:r>
        <w:t>National Health Act 2014 ...................................................................... 4, 9, 21, 25, 30, 31, 57</w:t>
      </w:r>
    </w:p>
    <w:p w14:paraId="367A0F52">
      <w:pPr>
        <w:pStyle w:val="style94"/>
        <w:spacing w:beforeAutospacing="false" w:afterAutospacing="false"/>
        <w:rPr/>
      </w:pPr>
      <w:r>
        <w:t>National Health Amendment Bill .......................................................................................... 58</w:t>
      </w:r>
    </w:p>
    <w:p w14:paraId="3A2C9F61">
      <w:pPr>
        <w:pStyle w:val="style94"/>
        <w:spacing w:beforeAutospacing="false" w:afterAutospacing="false"/>
        <w:rPr/>
      </w:pPr>
      <w:r>
        <w:t>National Identity Management Commission Act ............................................................. 58, 76</w:t>
      </w:r>
    </w:p>
    <w:p w14:paraId="46F59127">
      <w:pPr>
        <w:pStyle w:val="style94"/>
        <w:spacing w:beforeAutospacing="false" w:afterAutospacing="false"/>
        <w:rPr/>
      </w:pPr>
      <w:r>
        <w:t>National Population Commission Act .................................................................................... 76</w:t>
      </w:r>
    </w:p>
    <w:p w14:paraId="01243143">
      <w:pPr>
        <w:pStyle w:val="style94"/>
        <w:spacing w:beforeAutospacing="false" w:afterAutospacing="false"/>
        <w:rPr/>
      </w:pPr>
      <w:r>
        <w:t>Nigeria Surrogacy Regulatory Commission Bill 2024 ........... 4, 5, 6, 31, 36, 39, 41, 42, 44, 90</w:t>
      </w:r>
    </w:p>
    <w:p w14:paraId="3312BD0A">
      <w:pPr>
        <w:pStyle w:val="style94"/>
        <w:spacing w:beforeAutospacing="false" w:afterAutospacing="false"/>
        <w:rPr/>
      </w:pPr>
      <w:r>
        <w:t>Regulations Relating to Artificial Fertilisation of Persons 2012 (South Africa) ................... 30</w:t>
      </w:r>
    </w:p>
    <w:p w14:paraId="438A8745">
      <w:pPr>
        <w:pStyle w:val="style94"/>
        <w:spacing w:beforeAutospacing="false" w:afterAutospacing="false"/>
        <w:rPr/>
      </w:pPr>
      <w:r>
        <w:t>Trafficking in Persons (Prohibition) Enforcement and Administration Act 2015 ................. 60</w:t>
      </w:r>
    </w:p>
    <w:p w14:paraId="5B4739EA">
      <w:pPr>
        <w:pStyle w:val="style94"/>
        <w:spacing w:beforeAutospacing="false" w:afterAutospacing="false"/>
        <w:rPr/>
      </w:pPr>
      <w:r>
        <w:t>Uniform Parentage Act 2017 .................................................................................................. 53</w:t>
      </w:r>
    </w:p>
    <w:p w14:paraId="4633E44E">
      <w:pPr>
        <w:pStyle w:val="style94"/>
        <w:spacing w:beforeAutospacing="false" w:afterAutospacing="false"/>
        <w:rPr/>
      </w:pPr>
      <w:r>
        <w:t>Universal Declaration of Human Rights 1948 ................................................................. 53, 61</w:t>
      </w:r>
    </w:p>
    <w:p w14:paraId="78FC2616">
      <w:pPr>
        <w:pStyle w:val="style94"/>
        <w:spacing w:beforeAutospacing="false" w:afterAutospacing="false"/>
        <w:rPr/>
      </w:pPr>
      <w:r>
        <w:t>Violence Against Persons (Prohibition) Act 2015 ................................................................. 60</w:t>
      </w:r>
    </w:p>
    <w:p w14:paraId="01D44335">
      <w:pPr>
        <w:pStyle w:val="style94"/>
        <w:spacing w:beforeAutospacing="false" w:afterAutospacing="false"/>
        <w:rPr/>
      </w:pPr>
      <w:r>
        <w:t>Women’s Health and Surrogacy Protection Bill 2025 ........... 34, 35, 44, 45, 63, 70, 74, 85, 86</w:t>
      </w:r>
    </w:p>
    <w:p w14:paraId="6B70554D">
      <w:pPr>
        <w:pStyle w:val="style0"/>
        <w:spacing w:after="0"/>
        <w:rPr/>
      </w:pPr>
    </w:p>
    <w:p w14:paraId="17474E63">
      <w:pPr>
        <w:pStyle w:val="style0"/>
        <w:spacing w:lineRule="auto" w:line="360"/>
        <w:jc w:val="both"/>
        <w:rPr>
          <w:rFonts w:ascii="Times New Roman" w:cs="Times New Roman" w:hAnsi="Times New Roman"/>
          <w:sz w:val="24"/>
          <w:szCs w:val="24"/>
        </w:rPr>
      </w:pPr>
    </w:p>
    <w:p w14:paraId="0BC4B29D">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14A89852">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419FF560">
      <w:pPr>
        <w:pStyle w:val="style0"/>
        <w:rPr>
          <w:rFonts w:ascii="Times New Roman" w:cs="Times New Roman" w:hAnsi="Times New Roman"/>
          <w:sz w:val="24"/>
          <w:szCs w:val="24"/>
        </w:rPr>
      </w:pPr>
      <w:r>
        <w:rPr>
          <w:rFonts w:ascii="Times New Roman" w:cs="Times New Roman" w:hAnsi="Times New Roman"/>
          <w:sz w:val="24"/>
          <w:szCs w:val="24"/>
        </w:rPr>
        <w:br w:type="page"/>
      </w:r>
    </w:p>
    <w:bookmarkStart w:id="7" w:name="_Toc233678212"/>
    <w:p w14:paraId="648FDE73">
      <w:pPr>
        <w:pStyle w:val="style1"/>
        <w:rPr/>
      </w:pPr>
      <w:r>
        <w:t>LIST OF ABBREVIATIONS</w:t>
      </w:r>
      <w:bookmarkEnd w:id="7"/>
    </w:p>
    <w:p w14:paraId="449B5E85">
      <w:pPr>
        <w:pStyle w:val="style94"/>
        <w:spacing w:beforeAutospacing="false" w:afterAutospacing="false"/>
        <w:rPr/>
      </w:pPr>
      <w:r>
        <w:t xml:space="preserve">ABA </w:t>
      </w:r>
      <w:r>
        <w:tab/>
      </w:r>
      <w:r>
        <w:tab/>
      </w:r>
      <w:r>
        <w:tab/>
      </w:r>
      <w:r>
        <w:t>American Bar Association</w:t>
      </w:r>
    </w:p>
    <w:p w14:paraId="46B901FF">
      <w:pPr>
        <w:pStyle w:val="style94"/>
        <w:spacing w:beforeAutospacing="false" w:afterAutospacing="false"/>
        <w:rPr/>
      </w:pPr>
      <w:r>
        <w:t xml:space="preserve">ACArb </w:t>
      </w:r>
      <w:r>
        <w:tab/>
      </w:r>
      <w:r>
        <w:tab/>
      </w:r>
      <w:r>
        <w:t>Associate of the Chartered Institute of Arbitrators</w:t>
      </w:r>
    </w:p>
    <w:p w14:paraId="4D44C03C">
      <w:pPr>
        <w:pStyle w:val="style94"/>
        <w:spacing w:beforeAutospacing="false" w:afterAutospacing="false"/>
        <w:rPr/>
      </w:pPr>
      <w:r>
        <w:t xml:space="preserve">ACHPR </w:t>
      </w:r>
      <w:r>
        <w:tab/>
      </w:r>
      <w:r>
        <w:tab/>
      </w:r>
      <w:r>
        <w:t>African Charter on Human and Peoples’ Rights</w:t>
      </w:r>
    </w:p>
    <w:p w14:paraId="53F113F7">
      <w:pPr>
        <w:pStyle w:val="style94"/>
        <w:spacing w:beforeAutospacing="false" w:afterAutospacing="false"/>
        <w:rPr/>
      </w:pPr>
      <w:r>
        <w:t xml:space="preserve">ACRWC </w:t>
      </w:r>
      <w:r>
        <w:tab/>
      </w:r>
      <w:r>
        <w:tab/>
      </w:r>
      <w:r>
        <w:t>African Charter on the Rights and Welfare of the Child</w:t>
      </w:r>
    </w:p>
    <w:p w14:paraId="57049231">
      <w:pPr>
        <w:pStyle w:val="style94"/>
        <w:spacing w:beforeAutospacing="false" w:afterAutospacing="false"/>
        <w:rPr/>
      </w:pPr>
      <w:r>
        <w:t xml:space="preserve">AHRLJ </w:t>
      </w:r>
      <w:r>
        <w:tab/>
      </w:r>
      <w:r>
        <w:tab/>
      </w:r>
      <w:r>
        <w:t>African Human Rights Law Journal</w:t>
      </w:r>
    </w:p>
    <w:p w14:paraId="2E240C09">
      <w:pPr>
        <w:pStyle w:val="style94"/>
        <w:spacing w:beforeAutospacing="false" w:afterAutospacing="false"/>
        <w:rPr/>
      </w:pPr>
      <w:r>
        <w:t xml:space="preserve">AJCL </w:t>
      </w:r>
      <w:r>
        <w:tab/>
      </w:r>
      <w:r>
        <w:tab/>
      </w:r>
      <w:r>
        <w:tab/>
      </w:r>
      <w:r>
        <w:t>American Journal of Comparative Law</w:t>
      </w:r>
    </w:p>
    <w:p w14:paraId="73400E1B">
      <w:pPr>
        <w:pStyle w:val="style94"/>
        <w:spacing w:beforeAutospacing="false" w:afterAutospacing="false"/>
        <w:rPr/>
      </w:pPr>
      <w:r>
        <w:t xml:space="preserve">AJIAC </w:t>
      </w:r>
      <w:r>
        <w:tab/>
      </w:r>
      <w:r>
        <w:tab/>
      </w:r>
      <w:r>
        <w:t>African Journal for Infertility and Assisted Conception</w:t>
      </w:r>
    </w:p>
    <w:p w14:paraId="22E7A5B6">
      <w:pPr>
        <w:pStyle w:val="style94"/>
        <w:spacing w:beforeAutospacing="false" w:afterAutospacing="false"/>
        <w:rPr/>
      </w:pPr>
      <w:r>
        <w:t xml:space="preserve">ART </w:t>
      </w:r>
      <w:r>
        <w:tab/>
      </w:r>
      <w:r>
        <w:tab/>
      </w:r>
      <w:r>
        <w:tab/>
      </w:r>
      <w:r>
        <w:t>Assisted Reproductive Technology</w:t>
      </w:r>
    </w:p>
    <w:p w14:paraId="752BC258">
      <w:pPr>
        <w:pStyle w:val="style94"/>
        <w:spacing w:beforeAutospacing="false" w:afterAutospacing="false"/>
        <w:rPr/>
      </w:pPr>
      <w:r>
        <w:t xml:space="preserve">ATJ </w:t>
      </w:r>
      <w:r>
        <w:tab/>
      </w:r>
      <w:r>
        <w:tab/>
      </w:r>
      <w:r>
        <w:tab/>
      </w:r>
      <w:r>
        <w:t>Anglican Theological Journal</w:t>
      </w:r>
    </w:p>
    <w:p w14:paraId="137F6693">
      <w:pPr>
        <w:pStyle w:val="style94"/>
        <w:spacing w:beforeAutospacing="false" w:afterAutospacing="false"/>
        <w:rPr/>
      </w:pPr>
      <w:r>
        <w:t xml:space="preserve">AU </w:t>
      </w:r>
      <w:r>
        <w:tab/>
      </w:r>
      <w:r>
        <w:tab/>
      </w:r>
      <w:r>
        <w:tab/>
      </w:r>
      <w:r>
        <w:t>African Union</w:t>
      </w:r>
    </w:p>
    <w:p w14:paraId="059A17A8">
      <w:pPr>
        <w:pStyle w:val="style94"/>
        <w:spacing w:beforeAutospacing="false" w:afterAutospacing="false"/>
        <w:rPr/>
      </w:pPr>
      <w:r>
        <w:t xml:space="preserve">BBC </w:t>
      </w:r>
      <w:r>
        <w:tab/>
      </w:r>
      <w:r>
        <w:tab/>
      </w:r>
      <w:r>
        <w:tab/>
      </w:r>
      <w:r>
        <w:t>British Broadcasting Corporation</w:t>
      </w:r>
    </w:p>
    <w:p w14:paraId="3D1F2F6F">
      <w:pPr>
        <w:pStyle w:val="style94"/>
        <w:spacing w:beforeAutospacing="false" w:afterAutospacing="false"/>
        <w:rPr/>
      </w:pPr>
      <w:r>
        <w:t xml:space="preserve">BLR </w:t>
      </w:r>
      <w:r>
        <w:tab/>
      </w:r>
      <w:r>
        <w:tab/>
      </w:r>
      <w:r>
        <w:tab/>
      </w:r>
      <w:r>
        <w:t>Beijing Law Review</w:t>
      </w:r>
    </w:p>
    <w:p w14:paraId="3307F41A">
      <w:pPr>
        <w:pStyle w:val="style94"/>
        <w:spacing w:beforeAutospacing="false" w:afterAutospacing="false"/>
        <w:rPr/>
      </w:pPr>
      <w:r>
        <w:t xml:space="preserve">CFLQ </w:t>
      </w:r>
      <w:r>
        <w:tab/>
      </w:r>
      <w:r>
        <w:tab/>
      </w:r>
      <w:r>
        <w:tab/>
      </w:r>
      <w:r>
        <w:t>Child and Family Law Quarterly</w:t>
      </w:r>
    </w:p>
    <w:p w14:paraId="6765CD31">
      <w:pPr>
        <w:pStyle w:val="style94"/>
        <w:spacing w:beforeAutospacing="false" w:afterAutospacing="false"/>
        <w:rPr/>
      </w:pPr>
      <w:r>
        <w:t xml:space="preserve">CFRN </w:t>
      </w:r>
      <w:r>
        <w:tab/>
      </w:r>
      <w:r>
        <w:tab/>
      </w:r>
      <w:r>
        <w:tab/>
      </w:r>
      <w:r>
        <w:t>Constitution of the Federal Republic of Nigeria</w:t>
      </w:r>
    </w:p>
    <w:p w14:paraId="3C9F917E">
      <w:pPr>
        <w:pStyle w:val="style94"/>
        <w:spacing w:beforeAutospacing="false" w:afterAutospacing="false"/>
        <w:rPr/>
      </w:pPr>
      <w:r>
        <w:t xml:space="preserve">CRA </w:t>
      </w:r>
      <w:r>
        <w:tab/>
      </w:r>
      <w:r>
        <w:tab/>
      </w:r>
      <w:r>
        <w:tab/>
      </w:r>
      <w:r>
        <w:t>Child Rights Act</w:t>
      </w:r>
    </w:p>
    <w:p w14:paraId="26A00319">
      <w:pPr>
        <w:pStyle w:val="style94"/>
        <w:spacing w:beforeAutospacing="false" w:afterAutospacing="false"/>
        <w:rPr/>
      </w:pPr>
      <w:r>
        <w:t xml:space="preserve">CRC </w:t>
      </w:r>
      <w:r>
        <w:tab/>
      </w:r>
      <w:r>
        <w:tab/>
      </w:r>
      <w:r>
        <w:tab/>
      </w:r>
      <w:r>
        <w:t>Convention on the Rights of the Child</w:t>
      </w:r>
    </w:p>
    <w:p w14:paraId="2578ED0A">
      <w:pPr>
        <w:pStyle w:val="style94"/>
        <w:spacing w:beforeAutospacing="false" w:afterAutospacing="false"/>
        <w:rPr/>
      </w:pPr>
      <w:r>
        <w:t xml:space="preserve">CUP </w:t>
      </w:r>
      <w:r>
        <w:tab/>
      </w:r>
      <w:r>
        <w:tab/>
      </w:r>
      <w:r>
        <w:tab/>
      </w:r>
      <w:r>
        <w:t>Cambridge University Press</w:t>
      </w:r>
    </w:p>
    <w:p w14:paraId="489CBFF0">
      <w:pPr>
        <w:pStyle w:val="style94"/>
        <w:spacing w:beforeAutospacing="false" w:afterAutospacing="false"/>
        <w:rPr/>
      </w:pPr>
      <w:r>
        <w:t xml:space="preserve">DNA </w:t>
      </w:r>
      <w:r>
        <w:tab/>
      </w:r>
      <w:r>
        <w:tab/>
      </w:r>
      <w:r>
        <w:tab/>
      </w:r>
      <w:r>
        <w:t>Deoxyribonucleic Acid</w:t>
      </w:r>
    </w:p>
    <w:p w14:paraId="11188EDE">
      <w:pPr>
        <w:pStyle w:val="style94"/>
        <w:spacing w:beforeAutospacing="false" w:afterAutospacing="false"/>
        <w:ind w:left="2160" w:hanging="2160"/>
        <w:rPr/>
      </w:pPr>
      <w:r>
        <w:t xml:space="preserve">EJOGRB </w:t>
      </w:r>
      <w:r>
        <w:tab/>
      </w:r>
      <w:r>
        <w:t>European Journal of Obstetrics &amp; Gynecology and Reproductive Biology</w:t>
      </w:r>
    </w:p>
    <w:p w14:paraId="2653C2FB">
      <w:pPr>
        <w:pStyle w:val="style94"/>
        <w:spacing w:beforeAutospacing="false" w:afterAutospacing="false"/>
        <w:rPr/>
      </w:pPr>
      <w:r>
        <w:t xml:space="preserve">ESHRE </w:t>
      </w:r>
      <w:r>
        <w:tab/>
      </w:r>
      <w:r>
        <w:tab/>
      </w:r>
      <w:r>
        <w:t>European Society of Human Reproduction and Embryology</w:t>
      </w:r>
    </w:p>
    <w:p w14:paraId="4FC37941">
      <w:pPr>
        <w:pStyle w:val="style94"/>
        <w:spacing w:beforeAutospacing="false" w:afterAutospacing="false"/>
        <w:rPr/>
      </w:pPr>
      <w:r>
        <w:t xml:space="preserve">F&amp;S </w:t>
      </w:r>
      <w:r>
        <w:tab/>
      </w:r>
      <w:r>
        <w:tab/>
      </w:r>
      <w:r>
        <w:tab/>
      </w:r>
      <w:r>
        <w:t>Fertility and Sterility</w:t>
      </w:r>
    </w:p>
    <w:p w14:paraId="581B31DF">
      <w:pPr>
        <w:pStyle w:val="style94"/>
        <w:spacing w:beforeAutospacing="false" w:afterAutospacing="false"/>
        <w:rPr/>
      </w:pPr>
      <w:r>
        <w:t xml:space="preserve">FLR </w:t>
      </w:r>
      <w:r>
        <w:tab/>
      </w:r>
      <w:r>
        <w:tab/>
      </w:r>
      <w:r>
        <w:tab/>
      </w:r>
      <w:r>
        <w:t>Family Law Reports</w:t>
      </w:r>
    </w:p>
    <w:p w14:paraId="5DD986D4">
      <w:pPr>
        <w:pStyle w:val="style94"/>
        <w:spacing w:beforeAutospacing="false" w:afterAutospacing="false"/>
        <w:rPr/>
      </w:pPr>
      <w:r>
        <w:t xml:space="preserve">FRN </w:t>
      </w:r>
      <w:r>
        <w:tab/>
      </w:r>
      <w:r>
        <w:tab/>
      </w:r>
      <w:r>
        <w:tab/>
      </w:r>
      <w:r>
        <w:t>Federal Republic of Nigeria</w:t>
      </w:r>
    </w:p>
    <w:p w14:paraId="52B0328B">
      <w:pPr>
        <w:pStyle w:val="style94"/>
        <w:spacing w:beforeAutospacing="false" w:afterAutospacing="false"/>
        <w:rPr/>
      </w:pPr>
      <w:r>
        <w:t xml:space="preserve">FSH </w:t>
      </w:r>
      <w:r>
        <w:tab/>
      </w:r>
      <w:r>
        <w:tab/>
      </w:r>
      <w:r>
        <w:tab/>
      </w:r>
      <w:r>
        <w:t>Facts, Views &amp; Vision in Obstetrics and Gynaecology</w:t>
      </w:r>
    </w:p>
    <w:p w14:paraId="7DFD188F">
      <w:pPr>
        <w:pStyle w:val="style94"/>
        <w:spacing w:beforeAutospacing="false" w:afterAutospacing="false"/>
        <w:rPr/>
      </w:pPr>
      <w:r>
        <w:t xml:space="preserve">GOU </w:t>
      </w:r>
      <w:r>
        <w:tab/>
      </w:r>
      <w:r>
        <w:tab/>
      </w:r>
      <w:r>
        <w:tab/>
      </w:r>
      <w:r>
        <w:t>Godfrey Okoye University</w:t>
      </w:r>
    </w:p>
    <w:p w14:paraId="6C1647FA">
      <w:pPr>
        <w:pStyle w:val="style94"/>
        <w:spacing w:beforeAutospacing="false" w:afterAutospacing="false"/>
        <w:rPr/>
      </w:pPr>
      <w:r>
        <w:t xml:space="preserve">GOUNI </w:t>
      </w:r>
      <w:r>
        <w:tab/>
      </w:r>
      <w:r>
        <w:tab/>
      </w:r>
      <w:r>
        <w:t>Godfrey Okoye University</w:t>
      </w:r>
    </w:p>
    <w:p w14:paraId="2C2D7E6A">
      <w:pPr>
        <w:pStyle w:val="style94"/>
        <w:spacing w:beforeAutospacing="false" w:afterAutospacing="false"/>
        <w:rPr/>
      </w:pPr>
      <w:r>
        <w:t xml:space="preserve">HB </w:t>
      </w:r>
      <w:r>
        <w:tab/>
      </w:r>
      <w:r>
        <w:tab/>
      </w:r>
      <w:r>
        <w:tab/>
      </w:r>
      <w:r>
        <w:t>House Bill</w:t>
      </w:r>
    </w:p>
    <w:p w14:paraId="5FD9EFD8">
      <w:pPr>
        <w:pStyle w:val="style94"/>
        <w:spacing w:beforeAutospacing="false" w:afterAutospacing="false"/>
        <w:rPr/>
      </w:pPr>
      <w:r>
        <w:t xml:space="preserve">HCCH </w:t>
      </w:r>
      <w:r>
        <w:tab/>
      </w:r>
      <w:r>
        <w:tab/>
      </w:r>
      <w:r>
        <w:t>Hague Conference on Private International Law</w:t>
      </w:r>
    </w:p>
    <w:p w14:paraId="2ACD29ED">
      <w:pPr>
        <w:pStyle w:val="style94"/>
        <w:spacing w:beforeAutospacing="false" w:afterAutospacing="false"/>
        <w:rPr/>
      </w:pPr>
      <w:r>
        <w:t xml:space="preserve">HFE </w:t>
      </w:r>
      <w:r>
        <w:tab/>
      </w:r>
      <w:r>
        <w:tab/>
      </w:r>
      <w:r>
        <w:tab/>
      </w:r>
      <w:r>
        <w:t>Human Fertilisation and Embryology</w:t>
      </w:r>
    </w:p>
    <w:p w14:paraId="4A45E7CC">
      <w:pPr>
        <w:pStyle w:val="style94"/>
        <w:spacing w:beforeAutospacing="false" w:afterAutospacing="false"/>
        <w:rPr/>
      </w:pPr>
      <w:r>
        <w:t xml:space="preserve">HFEA </w:t>
      </w:r>
      <w:r>
        <w:tab/>
      </w:r>
      <w:r>
        <w:tab/>
      </w:r>
      <w:r>
        <w:tab/>
      </w:r>
      <w:r>
        <w:t>Human Fertilisation and Embryology Authority</w:t>
      </w:r>
    </w:p>
    <w:p w14:paraId="2EBF8F60">
      <w:pPr>
        <w:pStyle w:val="style94"/>
        <w:spacing w:beforeAutospacing="false" w:afterAutospacing="false"/>
        <w:rPr/>
      </w:pPr>
      <w:r>
        <w:t xml:space="preserve">ICCPR </w:t>
      </w:r>
      <w:r>
        <w:tab/>
      </w:r>
      <w:r>
        <w:tab/>
      </w:r>
      <w:r>
        <w:t>International Covenant on Civil and Political Rights</w:t>
      </w:r>
    </w:p>
    <w:p w14:paraId="5BC619CE">
      <w:pPr>
        <w:pStyle w:val="style94"/>
        <w:spacing w:beforeAutospacing="false" w:afterAutospacing="false"/>
        <w:rPr/>
      </w:pPr>
      <w:r>
        <w:t xml:space="preserve">ICESCR </w:t>
      </w:r>
      <w:r>
        <w:tab/>
      </w:r>
      <w:r>
        <w:tab/>
      </w:r>
      <w:r>
        <w:t>International Covenant on Economic, Social and Cultural Rights</w:t>
      </w:r>
    </w:p>
    <w:p w14:paraId="4AA8CAA8">
      <w:pPr>
        <w:pStyle w:val="style94"/>
        <w:spacing w:beforeAutospacing="false" w:afterAutospacing="false"/>
        <w:rPr/>
      </w:pPr>
      <w:r>
        <w:t xml:space="preserve">ICLQ </w:t>
      </w:r>
      <w:r>
        <w:tab/>
      </w:r>
      <w:r>
        <w:tab/>
      </w:r>
      <w:r>
        <w:tab/>
      </w:r>
      <w:r>
        <w:t>International and Comparative Law Quarterly</w:t>
      </w:r>
    </w:p>
    <w:p w14:paraId="0F120963">
      <w:pPr>
        <w:pStyle w:val="style94"/>
        <w:spacing w:beforeAutospacing="false" w:afterAutospacing="false"/>
        <w:ind w:left="2160" w:hanging="2160"/>
        <w:rPr/>
      </w:pPr>
      <w:r>
        <w:t xml:space="preserve">ICMART </w:t>
      </w:r>
      <w:r>
        <w:tab/>
      </w:r>
      <w:r>
        <w:t>International Committee for Monitoring Assisted Reproductive Technology</w:t>
      </w:r>
    </w:p>
    <w:p w14:paraId="4DDBC00B">
      <w:pPr>
        <w:pStyle w:val="style94"/>
        <w:spacing w:beforeAutospacing="false" w:afterAutospacing="false"/>
        <w:rPr/>
      </w:pPr>
      <w:r>
        <w:t xml:space="preserve">IJBLR </w:t>
      </w:r>
      <w:r>
        <w:tab/>
      </w:r>
      <w:r>
        <w:tab/>
      </w:r>
      <w:r>
        <w:tab/>
      </w:r>
      <w:r>
        <w:t>International Journal of Business and Law Research</w:t>
      </w:r>
    </w:p>
    <w:p w14:paraId="26560896">
      <w:pPr>
        <w:pStyle w:val="style94"/>
        <w:spacing w:beforeAutospacing="false" w:afterAutospacing="false"/>
        <w:rPr/>
      </w:pPr>
      <w:r>
        <w:t xml:space="preserve">IJCM </w:t>
      </w:r>
      <w:r>
        <w:tab/>
      </w:r>
      <w:r>
        <w:tab/>
      </w:r>
      <w:r>
        <w:tab/>
      </w:r>
      <w:r>
        <w:t>Indian Journal of Community Medicine</w:t>
      </w:r>
    </w:p>
    <w:p w14:paraId="264FB0E8">
      <w:pPr>
        <w:pStyle w:val="style94"/>
        <w:spacing w:beforeAutospacing="false" w:afterAutospacing="false"/>
        <w:rPr/>
      </w:pPr>
      <w:r>
        <w:t xml:space="preserve">IJLPF </w:t>
      </w:r>
      <w:r>
        <w:tab/>
      </w:r>
      <w:r>
        <w:tab/>
      </w:r>
      <w:r>
        <w:tab/>
      </w:r>
      <w:r>
        <w:t>International Journal of Law, Policy and the Family</w:t>
      </w:r>
    </w:p>
    <w:p w14:paraId="5098C1C3">
      <w:pPr>
        <w:pStyle w:val="style94"/>
        <w:spacing w:beforeAutospacing="false" w:afterAutospacing="false"/>
        <w:rPr/>
      </w:pPr>
      <w:r>
        <w:t xml:space="preserve">IJLPSR </w:t>
      </w:r>
      <w:r>
        <w:tab/>
      </w:r>
      <w:r>
        <w:tab/>
      </w:r>
      <w:r>
        <w:t>International Journal of Law, Policy and Social Review</w:t>
      </w:r>
    </w:p>
    <w:p w14:paraId="5ACB5189">
      <w:pPr>
        <w:pStyle w:val="style94"/>
        <w:spacing w:beforeAutospacing="false" w:afterAutospacing="false"/>
        <w:rPr/>
      </w:pPr>
      <w:r>
        <w:t xml:space="preserve">IJME </w:t>
      </w:r>
      <w:r>
        <w:tab/>
      </w:r>
      <w:r>
        <w:tab/>
      </w:r>
      <w:r>
        <w:tab/>
      </w:r>
      <w:r>
        <w:t>Indian Journal of Medical Ethics</w:t>
      </w:r>
    </w:p>
    <w:p w14:paraId="1198B873">
      <w:pPr>
        <w:pStyle w:val="style94"/>
        <w:spacing w:beforeAutospacing="false" w:afterAutospacing="false"/>
        <w:rPr/>
      </w:pPr>
      <w:r>
        <w:t xml:space="preserve">IVF </w:t>
      </w:r>
      <w:r>
        <w:tab/>
      </w:r>
      <w:r>
        <w:tab/>
      </w:r>
      <w:r>
        <w:tab/>
      </w:r>
      <w:r>
        <w:t>In Vitro Fertilisation</w:t>
      </w:r>
    </w:p>
    <w:p w14:paraId="7955EA44">
      <w:pPr>
        <w:pStyle w:val="style94"/>
        <w:spacing w:beforeAutospacing="false" w:afterAutospacing="false"/>
        <w:rPr/>
      </w:pPr>
      <w:r>
        <w:t xml:space="preserve">JAL </w:t>
      </w:r>
      <w:r>
        <w:tab/>
      </w:r>
      <w:r>
        <w:tab/>
      </w:r>
      <w:r>
        <w:tab/>
      </w:r>
      <w:r>
        <w:t>Journal of African Law</w:t>
      </w:r>
    </w:p>
    <w:p w14:paraId="54134D01">
      <w:pPr>
        <w:pStyle w:val="style94"/>
        <w:spacing w:beforeAutospacing="false" w:afterAutospacing="false"/>
        <w:rPr/>
      </w:pPr>
      <w:r>
        <w:t xml:space="preserve">JARMS </w:t>
      </w:r>
      <w:r>
        <w:tab/>
      </w:r>
      <w:r>
        <w:tab/>
      </w:r>
      <w:r>
        <w:t>Journal of Advanced Research and Multidisciplinary Studies</w:t>
      </w:r>
    </w:p>
    <w:p w14:paraId="17E3411E">
      <w:pPr>
        <w:pStyle w:val="style94"/>
        <w:spacing w:beforeAutospacing="false" w:afterAutospacing="false"/>
        <w:rPr/>
      </w:pPr>
      <w:r>
        <w:t xml:space="preserve">JLPG </w:t>
      </w:r>
      <w:r>
        <w:tab/>
      </w:r>
      <w:r>
        <w:tab/>
      </w:r>
      <w:r>
        <w:tab/>
      </w:r>
      <w:r>
        <w:t>Journal of Law, Policy and Globalization</w:t>
      </w:r>
    </w:p>
    <w:p w14:paraId="5A05E177">
      <w:pPr>
        <w:pStyle w:val="style94"/>
        <w:spacing w:beforeAutospacing="false" w:afterAutospacing="false"/>
        <w:rPr/>
      </w:pPr>
      <w:r>
        <w:t xml:space="preserve">JPAS </w:t>
      </w:r>
      <w:r>
        <w:tab/>
      </w:r>
      <w:r>
        <w:tab/>
      </w:r>
      <w:r>
        <w:tab/>
      </w:r>
      <w:r>
        <w:t>Journal of Pan African Studies</w:t>
      </w:r>
    </w:p>
    <w:p w14:paraId="1A7179F0">
      <w:pPr>
        <w:pStyle w:val="style94"/>
        <w:spacing w:beforeAutospacing="false" w:afterAutospacing="false"/>
        <w:rPr/>
      </w:pPr>
      <w:r>
        <w:t xml:space="preserve">JSWFL </w:t>
      </w:r>
      <w:r>
        <w:tab/>
      </w:r>
      <w:r>
        <w:tab/>
      </w:r>
      <w:r>
        <w:t>Journal of Social Welfare and Family Law</w:t>
      </w:r>
    </w:p>
    <w:p w14:paraId="4193587C">
      <w:pPr>
        <w:pStyle w:val="style94"/>
        <w:spacing w:beforeAutospacing="false" w:afterAutospacing="false"/>
        <w:rPr/>
      </w:pPr>
      <w:r>
        <w:t xml:space="preserve">KJV </w:t>
      </w:r>
      <w:r>
        <w:tab/>
      </w:r>
      <w:r>
        <w:tab/>
      </w:r>
      <w:r>
        <w:tab/>
      </w:r>
      <w:r>
        <w:t>King James Version</w:t>
      </w:r>
    </w:p>
    <w:p w14:paraId="41989BB5">
      <w:pPr>
        <w:pStyle w:val="style94"/>
        <w:spacing w:beforeAutospacing="false" w:afterAutospacing="false"/>
        <w:rPr/>
      </w:pPr>
      <w:r>
        <w:t xml:space="preserve">LFN </w:t>
      </w:r>
      <w:r>
        <w:tab/>
      </w:r>
      <w:r>
        <w:tab/>
      </w:r>
      <w:r>
        <w:tab/>
      </w:r>
      <w:r>
        <w:t>Laws of the Federation of Nigeria</w:t>
      </w:r>
    </w:p>
    <w:p w14:paraId="6BAF32A6">
      <w:pPr>
        <w:pStyle w:val="style94"/>
        <w:spacing w:beforeAutospacing="false" w:afterAutospacing="false"/>
        <w:rPr/>
      </w:pPr>
      <w:r>
        <w:t xml:space="preserve">LLJ </w:t>
      </w:r>
      <w:r>
        <w:tab/>
      </w:r>
      <w:r>
        <w:tab/>
      </w:r>
      <w:r>
        <w:tab/>
      </w:r>
      <w:r>
        <w:t>Lagos Law Journal</w:t>
      </w:r>
    </w:p>
    <w:p w14:paraId="7276694A">
      <w:pPr>
        <w:pStyle w:val="style94"/>
        <w:spacing w:beforeAutospacing="false" w:afterAutospacing="false"/>
        <w:rPr/>
      </w:pPr>
      <w:r>
        <w:t xml:space="preserve">MCA </w:t>
      </w:r>
      <w:r>
        <w:tab/>
      </w:r>
      <w:r>
        <w:tab/>
      </w:r>
      <w:r>
        <w:tab/>
      </w:r>
      <w:r>
        <w:t>Matrimonial Causes Act</w:t>
      </w:r>
    </w:p>
    <w:p w14:paraId="41ADAD35">
      <w:pPr>
        <w:pStyle w:val="style94"/>
        <w:spacing w:beforeAutospacing="false" w:afterAutospacing="false"/>
        <w:rPr/>
      </w:pPr>
      <w:r>
        <w:t xml:space="preserve">MDCN </w:t>
      </w:r>
      <w:r>
        <w:tab/>
      </w:r>
      <w:r>
        <w:tab/>
      </w:r>
      <w:r>
        <w:t>Medical and Dental Council of Nigeria</w:t>
      </w:r>
    </w:p>
    <w:p w14:paraId="2C582497">
      <w:pPr>
        <w:pStyle w:val="style94"/>
        <w:spacing w:beforeAutospacing="false" w:afterAutospacing="false"/>
        <w:rPr/>
      </w:pPr>
      <w:r>
        <w:t xml:space="preserve">MLR </w:t>
      </w:r>
      <w:r>
        <w:tab/>
      </w:r>
      <w:r>
        <w:tab/>
      </w:r>
      <w:r>
        <w:tab/>
      </w:r>
      <w:r>
        <w:t>Modern Law Review</w:t>
      </w:r>
    </w:p>
    <w:p w14:paraId="4EBF8804">
      <w:pPr>
        <w:pStyle w:val="style94"/>
        <w:spacing w:beforeAutospacing="false" w:afterAutospacing="false"/>
        <w:rPr/>
      </w:pPr>
      <w:r>
        <w:t xml:space="preserve">NHA </w:t>
      </w:r>
      <w:r>
        <w:tab/>
      </w:r>
      <w:r>
        <w:tab/>
      </w:r>
      <w:r>
        <w:tab/>
      </w:r>
      <w:r>
        <w:t>National Health Act</w:t>
      </w:r>
    </w:p>
    <w:p w14:paraId="761993F9">
      <w:pPr>
        <w:pStyle w:val="style94"/>
        <w:spacing w:beforeAutospacing="false" w:afterAutospacing="false"/>
        <w:rPr/>
      </w:pPr>
      <w:r>
        <w:t xml:space="preserve">NHREC </w:t>
      </w:r>
      <w:r>
        <w:tab/>
      </w:r>
      <w:r>
        <w:tab/>
      </w:r>
      <w:r>
        <w:t>National Health Research Ethics Committee</w:t>
      </w:r>
    </w:p>
    <w:p w14:paraId="02185279">
      <w:pPr>
        <w:pStyle w:val="style94"/>
        <w:spacing w:beforeAutospacing="false" w:afterAutospacing="false"/>
        <w:rPr/>
      </w:pPr>
      <w:r>
        <w:t xml:space="preserve">NIMC </w:t>
      </w:r>
      <w:r>
        <w:tab/>
      </w:r>
      <w:r>
        <w:tab/>
      </w:r>
      <w:r>
        <w:tab/>
      </w:r>
      <w:r>
        <w:t>National Identity Management Commission</w:t>
      </w:r>
    </w:p>
    <w:p w14:paraId="3061795C">
      <w:pPr>
        <w:pStyle w:val="style94"/>
        <w:spacing w:beforeAutospacing="false" w:afterAutospacing="false"/>
        <w:rPr/>
      </w:pPr>
      <w:r>
        <w:t xml:space="preserve">NJ </w:t>
      </w:r>
      <w:r>
        <w:tab/>
      </w:r>
      <w:r>
        <w:tab/>
      </w:r>
      <w:r>
        <w:tab/>
      </w:r>
      <w:r>
        <w:t>New Jersey</w:t>
      </w:r>
    </w:p>
    <w:p w14:paraId="07080DB7">
      <w:pPr>
        <w:pStyle w:val="style94"/>
        <w:spacing w:beforeAutospacing="false" w:afterAutospacing="false"/>
        <w:rPr/>
      </w:pPr>
      <w:r>
        <w:t xml:space="preserve">NMJ </w:t>
      </w:r>
      <w:r>
        <w:tab/>
      </w:r>
      <w:r>
        <w:tab/>
      </w:r>
      <w:r>
        <w:tab/>
      </w:r>
      <w:r>
        <w:t>Nigerian Medical Journal</w:t>
      </w:r>
    </w:p>
    <w:p w14:paraId="6F788605">
      <w:pPr>
        <w:pStyle w:val="style94"/>
        <w:spacing w:beforeAutospacing="false" w:afterAutospacing="false"/>
        <w:rPr/>
      </w:pPr>
      <w:r>
        <w:t xml:space="preserve">NPC </w:t>
      </w:r>
      <w:r>
        <w:tab/>
      </w:r>
      <w:r>
        <w:tab/>
      </w:r>
      <w:r>
        <w:tab/>
      </w:r>
      <w:r>
        <w:t>National Population Commission</w:t>
      </w:r>
    </w:p>
    <w:p w14:paraId="36251627">
      <w:pPr>
        <w:pStyle w:val="style94"/>
        <w:spacing w:beforeAutospacing="false" w:afterAutospacing="false"/>
        <w:rPr/>
      </w:pPr>
      <w:r>
        <w:t xml:space="preserve">NWLR </w:t>
      </w:r>
      <w:r>
        <w:tab/>
      </w:r>
      <w:r>
        <w:tab/>
      </w:r>
      <w:r>
        <w:t>Nigerian Weekly Law Reports</w:t>
      </w:r>
    </w:p>
    <w:p w14:paraId="5B93FB9E">
      <w:pPr>
        <w:pStyle w:val="style94"/>
        <w:spacing w:beforeAutospacing="false" w:afterAutospacing="false"/>
        <w:rPr/>
      </w:pPr>
      <w:r>
        <w:t xml:space="preserve">OGI </w:t>
      </w:r>
      <w:r>
        <w:tab/>
      </w:r>
      <w:r>
        <w:tab/>
      </w:r>
      <w:r>
        <w:tab/>
      </w:r>
      <w:r>
        <w:t>Obstetrics and Gynecology International</w:t>
      </w:r>
    </w:p>
    <w:p w14:paraId="590E88A1">
      <w:pPr>
        <w:pStyle w:val="style94"/>
        <w:spacing w:beforeAutospacing="false" w:afterAutospacing="false"/>
        <w:rPr/>
      </w:pPr>
      <w:r>
        <w:t xml:space="preserve">OUP </w:t>
      </w:r>
      <w:r>
        <w:tab/>
      </w:r>
      <w:r>
        <w:tab/>
      </w:r>
      <w:r>
        <w:tab/>
      </w:r>
      <w:r>
        <w:t>Oxford University Press</w:t>
      </w:r>
    </w:p>
    <w:p w14:paraId="4C04CF0D">
      <w:pPr>
        <w:pStyle w:val="style94"/>
        <w:spacing w:beforeAutospacing="false" w:afterAutospacing="false"/>
        <w:rPr/>
      </w:pPr>
      <w:r>
        <w:t xml:space="preserve">PRPR </w:t>
      </w:r>
      <w:r>
        <w:tab/>
      </w:r>
      <w:r>
        <w:tab/>
      </w:r>
      <w:r>
        <w:tab/>
      </w:r>
      <w:r>
        <w:t>Population Research and Policy Review</w:t>
      </w:r>
    </w:p>
    <w:p w14:paraId="1F1CB639">
      <w:pPr>
        <w:pStyle w:val="style94"/>
        <w:spacing w:beforeAutospacing="false" w:afterAutospacing="false"/>
        <w:rPr/>
      </w:pPr>
      <w:r>
        <w:t xml:space="preserve">R&amp;F </w:t>
      </w:r>
      <w:r>
        <w:tab/>
      </w:r>
      <w:r>
        <w:tab/>
      </w:r>
      <w:r>
        <w:tab/>
      </w:r>
      <w:r>
        <w:t>Reproduction and Fertility</w:t>
      </w:r>
    </w:p>
    <w:p w14:paraId="6C66DD0E">
      <w:pPr>
        <w:pStyle w:val="style94"/>
        <w:spacing w:beforeAutospacing="false" w:afterAutospacing="false"/>
        <w:rPr/>
      </w:pPr>
      <w:r>
        <w:t xml:space="preserve">RBMO </w:t>
      </w:r>
      <w:r>
        <w:tab/>
      </w:r>
      <w:r>
        <w:tab/>
      </w:r>
      <w:r>
        <w:t>Reproductive BioMedicine Online</w:t>
      </w:r>
    </w:p>
    <w:p w14:paraId="3AE70C0C">
      <w:pPr>
        <w:pStyle w:val="style94"/>
        <w:spacing w:beforeAutospacing="false" w:afterAutospacing="false"/>
        <w:rPr/>
      </w:pPr>
      <w:r>
        <w:t xml:space="preserve">RH </w:t>
      </w:r>
      <w:r>
        <w:tab/>
      </w:r>
      <w:r>
        <w:tab/>
      </w:r>
      <w:r>
        <w:tab/>
      </w:r>
      <w:r>
        <w:t>Reproductive Health</w:t>
      </w:r>
    </w:p>
    <w:p w14:paraId="4F07D7D8">
      <w:pPr>
        <w:pStyle w:val="style94"/>
        <w:spacing w:beforeAutospacing="false" w:afterAutospacing="false"/>
        <w:rPr/>
      </w:pPr>
      <w:r>
        <w:t xml:space="preserve">SC </w:t>
      </w:r>
      <w:r>
        <w:tab/>
      </w:r>
      <w:r>
        <w:tab/>
      </w:r>
      <w:r>
        <w:tab/>
      </w:r>
      <w:r>
        <w:t>Supreme Court</w:t>
      </w:r>
    </w:p>
    <w:p w14:paraId="6A3FFD06">
      <w:pPr>
        <w:pStyle w:val="style94"/>
        <w:spacing w:beforeAutospacing="false" w:afterAutospacing="false"/>
        <w:rPr/>
      </w:pPr>
      <w:r>
        <w:t xml:space="preserve">SSRN </w:t>
      </w:r>
      <w:r>
        <w:tab/>
      </w:r>
      <w:r>
        <w:tab/>
      </w:r>
      <w:r>
        <w:tab/>
      </w:r>
      <w:r>
        <w:t>Social Science Research Network</w:t>
      </w:r>
    </w:p>
    <w:p w14:paraId="70E70B5E">
      <w:pPr>
        <w:pStyle w:val="style94"/>
        <w:spacing w:beforeAutospacing="false" w:afterAutospacing="false"/>
        <w:rPr/>
      </w:pPr>
      <w:r>
        <w:t xml:space="preserve">UDHR </w:t>
      </w:r>
      <w:r>
        <w:tab/>
      </w:r>
      <w:r>
        <w:tab/>
      </w:r>
      <w:r>
        <w:t>Universal Declaration of Human Rights</w:t>
      </w:r>
    </w:p>
    <w:p w14:paraId="46761C75">
      <w:pPr>
        <w:pStyle w:val="style94"/>
        <w:spacing w:beforeAutospacing="false" w:afterAutospacing="false"/>
        <w:rPr/>
      </w:pPr>
      <w:r>
        <w:t xml:space="preserve">UK </w:t>
      </w:r>
      <w:r>
        <w:tab/>
      </w:r>
      <w:r>
        <w:tab/>
      </w:r>
      <w:r>
        <w:tab/>
      </w:r>
      <w:r>
        <w:t>United Kingdom</w:t>
      </w:r>
    </w:p>
    <w:p w14:paraId="02C0E715">
      <w:pPr>
        <w:pStyle w:val="style94"/>
        <w:spacing w:beforeAutospacing="false" w:afterAutospacing="false"/>
        <w:rPr/>
      </w:pPr>
      <w:r>
        <w:t xml:space="preserve">UN </w:t>
      </w:r>
      <w:r>
        <w:tab/>
      </w:r>
      <w:r>
        <w:tab/>
      </w:r>
      <w:r>
        <w:tab/>
      </w:r>
      <w:r>
        <w:t>United Nations</w:t>
      </w:r>
    </w:p>
    <w:p w14:paraId="568B61A6">
      <w:pPr>
        <w:pStyle w:val="style94"/>
        <w:spacing w:beforeAutospacing="false" w:afterAutospacing="false"/>
        <w:rPr/>
      </w:pPr>
      <w:r>
        <w:t xml:space="preserve">UNCRC </w:t>
      </w:r>
      <w:r>
        <w:tab/>
      </w:r>
      <w:r>
        <w:tab/>
      </w:r>
      <w:r>
        <w:t>United Nations Convention on the Rights of the Child</w:t>
      </w:r>
    </w:p>
    <w:p w14:paraId="7DB05AFF">
      <w:pPr>
        <w:pStyle w:val="style94"/>
        <w:spacing w:beforeAutospacing="false" w:afterAutospacing="false"/>
        <w:rPr/>
      </w:pPr>
      <w:r>
        <w:t xml:space="preserve">UNHRC </w:t>
      </w:r>
      <w:r>
        <w:tab/>
      </w:r>
      <w:r>
        <w:tab/>
      </w:r>
      <w:r>
        <w:t>United Nations Human Rights Committee</w:t>
      </w:r>
    </w:p>
    <w:p w14:paraId="25493FBB">
      <w:pPr>
        <w:pStyle w:val="style94"/>
        <w:spacing w:beforeAutospacing="false" w:afterAutospacing="false"/>
        <w:rPr/>
      </w:pPr>
      <w:r>
        <w:t xml:space="preserve">UNICEF </w:t>
      </w:r>
      <w:r>
        <w:tab/>
      </w:r>
      <w:r>
        <w:tab/>
      </w:r>
      <w:r>
        <w:t>United Nations Children’s Fund</w:t>
      </w:r>
    </w:p>
    <w:p w14:paraId="03269E7C">
      <w:pPr>
        <w:pStyle w:val="style94"/>
        <w:spacing w:beforeAutospacing="false" w:afterAutospacing="false"/>
        <w:rPr/>
      </w:pPr>
      <w:r>
        <w:t xml:space="preserve">UP </w:t>
      </w:r>
      <w:r>
        <w:tab/>
      </w:r>
      <w:r>
        <w:tab/>
      </w:r>
      <w:r>
        <w:tab/>
      </w:r>
      <w:r>
        <w:t>University Press</w:t>
      </w:r>
    </w:p>
    <w:p w14:paraId="3CDC1840">
      <w:pPr>
        <w:pStyle w:val="style94"/>
        <w:spacing w:beforeAutospacing="false" w:afterAutospacing="false"/>
        <w:rPr/>
      </w:pPr>
      <w:r>
        <w:t xml:space="preserve">US </w:t>
      </w:r>
      <w:r>
        <w:tab/>
      </w:r>
      <w:r>
        <w:tab/>
      </w:r>
      <w:r>
        <w:tab/>
      </w:r>
      <w:r>
        <w:t>United States</w:t>
      </w:r>
    </w:p>
    <w:p w14:paraId="72F3B2BD">
      <w:pPr>
        <w:pStyle w:val="style94"/>
        <w:spacing w:beforeAutospacing="false" w:afterAutospacing="false"/>
        <w:rPr/>
      </w:pPr>
      <w:r>
        <w:t xml:space="preserve">VAPP </w:t>
      </w:r>
      <w:r>
        <w:tab/>
      </w:r>
      <w:r>
        <w:tab/>
      </w:r>
      <w:r>
        <w:tab/>
      </w:r>
      <w:r>
        <w:t>Violence Against Persons (Prohibition)</w:t>
      </w:r>
    </w:p>
    <w:p w14:paraId="5E5DAA2F">
      <w:pPr>
        <w:pStyle w:val="style94"/>
        <w:spacing w:beforeAutospacing="false" w:afterAutospacing="false"/>
        <w:rPr/>
      </w:pPr>
      <w:r>
        <w:t xml:space="preserve">WHO </w:t>
      </w:r>
      <w:r>
        <w:tab/>
      </w:r>
      <w:r>
        <w:tab/>
      </w:r>
      <w:r>
        <w:tab/>
      </w:r>
      <w:r>
        <w:t>World Health Organization</w:t>
      </w:r>
    </w:p>
    <w:p w14:paraId="173C49DC">
      <w:pPr>
        <w:pStyle w:val="style0"/>
        <w:spacing w:after="0"/>
        <w:rPr>
          <w:rFonts w:ascii="Times New Roman" w:cs="Times New Roman" w:hAnsi="Times New Roman"/>
        </w:rPr>
      </w:pPr>
    </w:p>
    <w:p w14:paraId="7B8CF20B">
      <w:pPr>
        <w:pStyle w:val="style0"/>
        <w:spacing w:lineRule="auto" w:line="360"/>
        <w:jc w:val="both"/>
        <w:rPr>
          <w:rFonts w:ascii="Times New Roman" w:cs="Times New Roman" w:hAnsi="Times New Roman"/>
          <w:sz w:val="24"/>
          <w:szCs w:val="24"/>
        </w:rPr>
      </w:pPr>
    </w:p>
    <w:p w14:paraId="20A5F2ED">
      <w:pPr>
        <w:pStyle w:val="style0"/>
        <w:spacing w:lineRule="auto" w:line="360"/>
        <w:jc w:val="both"/>
        <w:rPr>
          <w:rFonts w:ascii="Times New Roman" w:cs="Times New Roman" w:hAnsi="Times New Roman"/>
          <w:sz w:val="24"/>
          <w:szCs w:val="24"/>
        </w:rPr>
      </w:pPr>
    </w:p>
    <w:p w14:paraId="7C2B44FB">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5B6DCE12">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w:t>
      </w:r>
    </w:p>
    <w:p w14:paraId="3E9F725C">
      <w:pPr>
        <w:pStyle w:val="style0"/>
        <w:rPr>
          <w:rFonts w:ascii="Times New Roman" w:cs="Times New Roman" w:hAnsi="Times New Roman"/>
          <w:sz w:val="24"/>
          <w:szCs w:val="24"/>
        </w:rPr>
      </w:pPr>
      <w:r>
        <w:rPr>
          <w:rFonts w:ascii="Times New Roman" w:cs="Times New Roman" w:hAnsi="Times New Roman"/>
          <w:sz w:val="24"/>
          <w:szCs w:val="24"/>
        </w:rPr>
        <w:br w:type="page"/>
      </w:r>
    </w:p>
    <w:bookmarkStart w:id="8" w:name="_Toc233678213"/>
    <w:p w14:paraId="2BE78A9D">
      <w:pPr>
        <w:pStyle w:val="style1"/>
        <w:rPr/>
      </w:pPr>
      <w:r>
        <w:t>ABSTRACT</w:t>
      </w:r>
      <w:bookmarkEnd w:id="8"/>
    </w:p>
    <w:p w14:paraId="29BF9600">
      <w:pPr>
        <w:pStyle w:val="style0"/>
        <w:spacing w:lineRule="auto" w:line="240"/>
        <w:jc w:val="both"/>
        <w:rPr>
          <w:rFonts w:ascii="Times New Roman" w:cs="Times New Roman" w:hAnsi="Times New Roman"/>
          <w:sz w:val="24"/>
          <w:szCs w:val="24"/>
        </w:rPr>
      </w:pPr>
      <w:r>
        <w:rPr>
          <w:rFonts w:ascii="Times New Roman" w:cs="Times New Roman" w:hAnsi="Times New Roman"/>
          <w:sz w:val="24"/>
          <w:szCs w:val="24"/>
        </w:rPr>
        <w:t>Assisted Reproductive Technology and Surrogacy have developed rapidly and this has transformed traditional ideas of family, reproduction and legal parenthood. In Nigeria, parentage is determined through childbirth, marriage, legitimacy and biological connection. However, modern reproductive arrangements now make it possible for genetic, gestational and intended parenthood to exist in different persons. Hence, this creates uncertainty about who should be recognised as the lawful parent of a child born through these methods. Therefore, this aim of this project is to assess how parentage is determined for children born via ART and surrogacy in Nigeria and recommend legal reforms to ensure clarity and coherence. This project adopts a doctrinal methodology. It examines primary legal materials such as the Constitution of the Federal Republic of Nigeria 1999, the Child Rights Act 2003, the Evidence Act 2011, the National Health Act 2014, laws on birth registration, relevant judicial authorities, international instruments and selected comparative legal frameworks. It also relies on secondary materials, including textbooks, journal articles, policy documents and legal commentaries on ART, surrogacy, family law and child rights. This project found that law in Nigeria remains fragmented and inadequate in addressing parentage in ART and surrogacy arrangements. Existing legal presumptions, (especially the presumption that the woman who gives birth is the mother and that the husband of a married woman is the father) do not address situations where genetic, gestational and intentional parenthood are divided. In addition, the study found that there is no comprehensive statutory framework in this regard and it exposes children and parties to uncertainty, exploitation, disputes and gaps in legal protection. This project recommends that there should be federal legislation on ART and surrogacy in Nigeria. Such legislation should define legal parentage, regulate clinics and agreements, protect surrogate mothers and donors, safeguard the best interests of the child. it should also provide procedures for birth registration, citizenship, inheritance and dispute resolution.</w:t>
      </w:r>
    </w:p>
    <w:p w14:paraId="1A322E4B">
      <w:pPr>
        <w:pStyle w:val="style0"/>
        <w:spacing w:lineRule="auto" w:line="480"/>
        <w:rPr>
          <w:rFonts w:ascii="Times New Roman" w:cs="Times New Roman" w:hAnsi="Times New Roman"/>
          <w:b/>
          <w:sz w:val="24"/>
          <w:szCs w:val="24"/>
          <w:lang w:val="en-US"/>
        </w:rPr>
      </w:pPr>
    </w:p>
    <w:p w14:paraId="55F7BBB9">
      <w:pPr>
        <w:pStyle w:val="style0"/>
        <w:spacing w:lineRule="auto" w:line="480"/>
        <w:rPr>
          <w:rFonts w:ascii="Times New Roman" w:cs="Times New Roman" w:hAnsi="Times New Roman"/>
          <w:b/>
          <w:sz w:val="24"/>
          <w:szCs w:val="24"/>
          <w:lang w:val="en-US"/>
        </w:rPr>
      </w:pPr>
    </w:p>
    <w:p w14:paraId="599725EA">
      <w:pPr>
        <w:pStyle w:val="style0"/>
        <w:spacing w:lineRule="auto" w:line="480"/>
        <w:rPr>
          <w:rFonts w:ascii="Times New Roman" w:cs="Times New Roman" w:hAnsi="Times New Roman"/>
          <w:b/>
          <w:sz w:val="24"/>
          <w:szCs w:val="24"/>
          <w:lang w:val="en-US"/>
        </w:rPr>
      </w:pPr>
    </w:p>
    <w:p w14:paraId="4890F7CD">
      <w:pPr>
        <w:pStyle w:val="style0"/>
        <w:spacing w:lineRule="auto" w:line="480"/>
        <w:rPr>
          <w:rFonts w:ascii="Times New Roman" w:cs="Times New Roman" w:hAnsi="Times New Roman"/>
          <w:b/>
          <w:sz w:val="24"/>
          <w:szCs w:val="24"/>
          <w:lang w:val="en-US"/>
        </w:rPr>
      </w:pPr>
    </w:p>
    <w:p w14:paraId="759534BC">
      <w:pPr>
        <w:pStyle w:val="style0"/>
        <w:spacing w:after="0" w:lineRule="auto" w:line="240"/>
        <w:rPr>
          <w:rFonts w:ascii="Times New Roman" w:cs="Times New Roman" w:hAnsi="Times New Roman"/>
          <w:b/>
          <w:sz w:val="24"/>
          <w:szCs w:val="24"/>
          <w:lang w:val="en-US"/>
        </w:rPr>
        <w:sectPr>
          <w:headerReference w:type="default" r:id="rId4"/>
          <w:footerReference w:type="default" r:id="rId5"/>
          <w:pgSz w:w="11907" w:h="16839" w:orient="portrait"/>
          <w:pgMar w:top="1440" w:right="1440" w:bottom="1440" w:left="1440" w:header="720" w:footer="720" w:gutter="0"/>
          <w:pgNumType w:fmt="lowerRoman" w:start="1"/>
          <w:cols w:space="720" w:num="1"/>
          <w:docGrid w:linePitch="360" w:charSpace="0"/>
        </w:sectPr>
      </w:pPr>
      <w:r>
        <w:rPr>
          <w:rFonts w:ascii="Times New Roman" w:cs="Times New Roman" w:hAnsi="Times New Roman"/>
          <w:b/>
          <w:sz w:val="24"/>
          <w:szCs w:val="24"/>
          <w:lang w:val="en-US"/>
        </w:rPr>
        <w:br w:type="page"/>
      </w:r>
    </w:p>
    <w:bookmarkStart w:id="9" w:name="_Toc233678214"/>
    <w:p w14:paraId="446FE1BE">
      <w:pPr>
        <w:pStyle w:val="style1"/>
        <w:rPr/>
      </w:pPr>
      <w:r>
        <w:t>CHAPTER ONE</w:t>
      </w:r>
      <w:bookmarkEnd w:id="9"/>
    </w:p>
    <w:bookmarkStart w:id="10" w:name="_Toc233678215"/>
    <w:p w14:paraId="0484DC54">
      <w:pPr>
        <w:pStyle w:val="style1"/>
        <w:rPr/>
      </w:pPr>
      <w:r>
        <w:t>INTRODUCTION</w:t>
      </w:r>
      <w:bookmarkEnd w:id="10"/>
    </w:p>
    <w:bookmarkStart w:id="11" w:name="_Toc233678216"/>
    <w:p w14:paraId="713A7FED">
      <w:pPr>
        <w:pStyle w:val="style2"/>
        <w:rPr/>
      </w:pPr>
      <w:r>
        <w:t xml:space="preserve">1.1 </w:t>
      </w:r>
      <w:r>
        <w:tab/>
      </w:r>
      <w:r>
        <w:t>Background to the Study</w:t>
      </w:r>
      <w:bookmarkEnd w:id="11"/>
    </w:p>
    <w:p w14:paraId="47BD817F">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question of who the law </w:t>
      </w:r>
      <w:r>
        <w:rPr>
          <w:rFonts w:ascii="Times New Roman" w:cs="Times New Roman" w:hAnsi="Times New Roman"/>
          <w:sz w:val="24"/>
          <w:szCs w:val="24"/>
          <w:lang w:val="en-US"/>
        </w:rPr>
        <w:t>recognizes</w:t>
      </w:r>
      <w:r>
        <w:rPr>
          <w:rFonts w:ascii="Times New Roman" w:cs="Times New Roman" w:hAnsi="Times New Roman"/>
          <w:sz w:val="24"/>
          <w:szCs w:val="24"/>
        </w:rPr>
        <w:t xml:space="preserve"> as the parent of a child is one of the oldest issues in family law.</w:t>
      </w:r>
      <w:r>
        <w:rPr>
          <w:rStyle w:val="style38"/>
          <w:rFonts w:ascii="Times New Roman" w:cs="Times New Roman" w:hAnsi="Times New Roman"/>
          <w:sz w:val="24"/>
          <w:szCs w:val="24"/>
        </w:rPr>
        <w:footnoteReference w:id="1"/>
      </w:r>
      <w:r>
        <w:rPr>
          <w:rFonts w:ascii="Times New Roman" w:cs="Times New Roman" w:hAnsi="Times New Roman"/>
          <w:sz w:val="24"/>
          <w:szCs w:val="24"/>
        </w:rPr>
        <w:t xml:space="preserve"> Although legal presumptions traditionally associated parentage with childbirth, marriage, and biological ties, Nigerian customary law has historically accommodated non-biological parenthood through practices such as customary adoption and child fostering, indicating that the concept of parentage has never been exclusively dependent on genetic connection.</w:t>
      </w:r>
      <w:r>
        <w:rPr>
          <w:rStyle w:val="style38"/>
          <w:rFonts w:ascii="Times New Roman" w:cs="Times New Roman" w:hAnsi="Times New Roman"/>
          <w:sz w:val="24"/>
          <w:szCs w:val="24"/>
        </w:rPr>
        <w:footnoteReference w:id="2"/>
      </w:r>
      <w:r>
        <w:rPr>
          <w:rFonts w:ascii="Times New Roman" w:cs="Times New Roman" w:hAnsi="Times New Roman"/>
          <w:sz w:val="24"/>
          <w:szCs w:val="24"/>
        </w:rPr>
        <w:t xml:space="preserve"> This historical flexibility within Nigerian customary law suggests that the challenges posed by assisted reproductive technologies are not entirely novel but rather represent a continuation of existing tensions between biological and social conceptions of parenthood</w:t>
      </w:r>
      <w:r>
        <w:rPr>
          <w:rFonts w:ascii="Times New Roman" w:cs="Times New Roman" w:hAnsi="Times New Roman"/>
          <w:sz w:val="24"/>
          <w:szCs w:val="24"/>
          <w:lang w:val="en-US"/>
        </w:rPr>
        <w:t>.</w:t>
      </w:r>
      <w:r>
        <w:rPr>
          <w:rStyle w:val="style38"/>
          <w:rFonts w:ascii="Times New Roman" w:cs="Times New Roman" w:hAnsi="Times New Roman"/>
          <w:sz w:val="24"/>
          <w:szCs w:val="24"/>
          <w:lang w:val="en-US"/>
        </w:rPr>
        <w:footnoteReference w:id="3"/>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However, there have been developments in </w:t>
      </w:r>
      <w:r>
        <w:rPr>
          <w:rStyle w:val="style87"/>
          <w:rFonts w:ascii="Times New Roman" w:cs="Times New Roman" w:hAnsi="Times New Roman"/>
          <w:b w:val="false"/>
          <w:sz w:val="24"/>
          <w:szCs w:val="24"/>
        </w:rPr>
        <w:t>Assisted Reproductive Technology (ART)</w:t>
      </w:r>
      <w:r>
        <w:rPr>
          <w:rFonts w:ascii="Times New Roman" w:cs="Times New Roman" w:hAnsi="Times New Roman"/>
          <w:sz w:val="24"/>
          <w:szCs w:val="24"/>
        </w:rPr>
        <w:t xml:space="preserve"> (including in vitro </w:t>
      </w:r>
      <w:r>
        <w:rPr>
          <w:rFonts w:ascii="Times New Roman" w:cs="Times New Roman" w:hAnsi="Times New Roman"/>
          <w:sz w:val="24"/>
          <w:szCs w:val="24"/>
          <w:lang w:val="en-US"/>
        </w:rPr>
        <w:t>fertilization</w:t>
      </w:r>
      <w:r>
        <w:rPr>
          <w:rFonts w:ascii="Times New Roman" w:cs="Times New Roman" w:hAnsi="Times New Roman"/>
          <w:sz w:val="24"/>
          <w:szCs w:val="24"/>
        </w:rPr>
        <w:t>, gamete donation, embryo donation, and surrogacy) and this ha</w:t>
      </w:r>
      <w:r>
        <w:rPr>
          <w:rFonts w:ascii="Times New Roman" w:cs="Times New Roman" w:hAnsi="Times New Roman"/>
          <w:sz w:val="24"/>
          <w:szCs w:val="24"/>
          <w:lang w:val="en-US"/>
        </w:rPr>
        <w:t>s</w:t>
      </w:r>
      <w:r>
        <w:rPr>
          <w:rFonts w:ascii="Times New Roman" w:cs="Times New Roman" w:hAnsi="Times New Roman"/>
          <w:sz w:val="24"/>
          <w:szCs w:val="24"/>
        </w:rPr>
        <w:t xml:space="preserve"> transformed the reproductive process as well as complicated those traditional assumptions.</w:t>
      </w:r>
      <w:r>
        <w:rPr>
          <w:rStyle w:val="style38"/>
          <w:rFonts w:ascii="Times New Roman" w:cs="Times New Roman" w:hAnsi="Times New Roman"/>
          <w:sz w:val="24"/>
          <w:szCs w:val="24"/>
        </w:rPr>
        <w:footnoteReference w:id="4"/>
      </w:r>
      <w:r>
        <w:rPr>
          <w:rFonts w:ascii="Times New Roman" w:cs="Times New Roman" w:hAnsi="Times New Roman"/>
          <w:sz w:val="24"/>
          <w:szCs w:val="24"/>
          <w:lang w:val="en-US"/>
        </w:rPr>
        <w:t xml:space="preserve"> Contemporary family structures increasingly recognize social and intentional parenthood beyond purely biological connection.</w:t>
      </w:r>
      <w:r>
        <w:rPr>
          <w:rStyle w:val="style38"/>
          <w:rFonts w:ascii="Times New Roman" w:cs="Times New Roman" w:hAnsi="Times New Roman"/>
          <w:sz w:val="24"/>
          <w:szCs w:val="24"/>
          <w:lang w:val="en-US"/>
        </w:rPr>
        <w:footnoteReference w:id="5"/>
      </w:r>
      <w:r>
        <w:rPr>
          <w:rFonts w:ascii="Times New Roman" w:cs="Times New Roman" w:hAnsi="Times New Roman"/>
          <w:sz w:val="24"/>
          <w:szCs w:val="24"/>
          <w:lang w:val="en-US"/>
        </w:rPr>
        <w:t xml:space="preserve"> Surrogacy is a procedure in which a woman of childbearing age, acting as a third party, carries a pregnancy for a commissioning parent.</w:t>
      </w:r>
      <w:r>
        <w:rPr>
          <w:rStyle w:val="style38"/>
          <w:rFonts w:ascii="Times New Roman" w:cs="Times New Roman" w:hAnsi="Times New Roman"/>
          <w:sz w:val="24"/>
          <w:szCs w:val="24"/>
          <w:lang w:val="en-US"/>
        </w:rPr>
        <w:footnoteReference w:id="6"/>
      </w:r>
      <w:r>
        <w:rPr>
          <w:rFonts w:ascii="Times New Roman" w:cs="Times New Roman" w:hAnsi="Times New Roman"/>
          <w:sz w:val="24"/>
          <w:szCs w:val="24"/>
          <w:lang w:val="en-US"/>
        </w:rPr>
        <w:t xml:space="preserve"> The surrogate relinquishes the baby.</w:t>
      </w:r>
      <w:r>
        <w:rPr>
          <w:rStyle w:val="style38"/>
          <w:rFonts w:ascii="Times New Roman" w:cs="Times New Roman" w:hAnsi="Times New Roman"/>
          <w:sz w:val="24"/>
          <w:szCs w:val="24"/>
          <w:lang w:val="en-US"/>
        </w:rPr>
        <w:footnoteReference w:id="7"/>
      </w:r>
      <w:r>
        <w:rPr>
          <w:rFonts w:ascii="Times New Roman" w:cs="Times New Roman" w:hAnsi="Times New Roman"/>
          <w:sz w:val="24"/>
          <w:szCs w:val="24"/>
        </w:rPr>
        <w:t xml:space="preserve"> These have made it possible for a child to have a genetic mother, a gestational mother, an intended social mother and in some cases, more than one competing p</w:t>
      </w:r>
      <w:r>
        <w:rPr>
          <w:rFonts w:ascii="Times New Roman" w:cs="Times New Roman" w:hAnsi="Times New Roman"/>
          <w:sz w:val="24"/>
          <w:szCs w:val="24"/>
          <w:lang w:val="en-US"/>
        </w:rPr>
        <w:t>arentage</w:t>
      </w:r>
      <w:r>
        <w:rPr>
          <w:rFonts w:ascii="Times New Roman" w:cs="Times New Roman" w:hAnsi="Times New Roman"/>
          <w:sz w:val="24"/>
          <w:szCs w:val="24"/>
        </w:rPr>
        <w:t xml:space="preserve"> claim.</w:t>
      </w:r>
      <w:r>
        <w:rPr>
          <w:rStyle w:val="style38"/>
          <w:rFonts w:ascii="Times New Roman" w:cs="Times New Roman" w:hAnsi="Times New Roman"/>
          <w:sz w:val="24"/>
          <w:szCs w:val="24"/>
        </w:rPr>
        <w:footnoteReference w:id="8"/>
      </w:r>
      <w:r>
        <w:rPr>
          <w:rFonts w:ascii="Times New Roman" w:cs="Times New Roman" w:hAnsi="Times New Roman"/>
          <w:sz w:val="24"/>
          <w:szCs w:val="24"/>
        </w:rPr>
        <w:t xml:space="preserve"> As a result, the legal concept of parentage has become more difficult to define.</w:t>
      </w:r>
      <w:r>
        <w:rPr>
          <w:rStyle w:val="style38"/>
          <w:rFonts w:ascii="Times New Roman" w:cs="Times New Roman" w:hAnsi="Times New Roman"/>
          <w:sz w:val="24"/>
          <w:szCs w:val="24"/>
        </w:rPr>
        <w:footnoteReference w:id="9"/>
      </w:r>
      <w:r>
        <w:rPr>
          <w:rFonts w:ascii="Times New Roman" w:cs="Times New Roman" w:hAnsi="Times New Roman"/>
          <w:sz w:val="24"/>
          <w:szCs w:val="24"/>
        </w:rPr>
        <w:t xml:space="preserve"> This is evident where biology, intention, and childbirth do not coincide.</w:t>
      </w:r>
      <w:r>
        <w:rPr>
          <w:rStyle w:val="style38"/>
          <w:rFonts w:ascii="Times New Roman" w:cs="Times New Roman" w:hAnsi="Times New Roman"/>
          <w:sz w:val="24"/>
          <w:szCs w:val="24"/>
        </w:rPr>
        <w:footnoteReference w:id="10"/>
      </w:r>
      <w:r>
        <w:rPr>
          <w:rFonts w:ascii="Times New Roman" w:cs="Times New Roman" w:hAnsi="Times New Roman"/>
          <w:sz w:val="24"/>
          <w:szCs w:val="24"/>
        </w:rPr>
        <w:t xml:space="preserve"> This makes surrogacy and ART </w:t>
      </w:r>
      <w:r>
        <w:rPr>
          <w:rFonts w:ascii="Times New Roman" w:cs="Times New Roman" w:hAnsi="Times New Roman"/>
          <w:sz w:val="24"/>
          <w:szCs w:val="24"/>
          <w:lang w:val="en-US"/>
        </w:rPr>
        <w:t>go beyond</w:t>
      </w:r>
      <w:r>
        <w:rPr>
          <w:rFonts w:ascii="Times New Roman" w:cs="Times New Roman" w:hAnsi="Times New Roman"/>
          <w:sz w:val="24"/>
          <w:szCs w:val="24"/>
        </w:rPr>
        <w:t xml:space="preserve"> merely medical matters.</w:t>
      </w:r>
      <w:r>
        <w:rPr>
          <w:rStyle w:val="style38"/>
          <w:rFonts w:ascii="Times New Roman" w:cs="Times New Roman" w:hAnsi="Times New Roman"/>
          <w:sz w:val="24"/>
          <w:szCs w:val="24"/>
        </w:rPr>
        <w:footnoteReference w:id="11"/>
      </w:r>
      <w:r>
        <w:rPr>
          <w:rFonts w:ascii="Times New Roman" w:cs="Times New Roman" w:hAnsi="Times New Roman"/>
          <w:sz w:val="24"/>
          <w:szCs w:val="24"/>
        </w:rPr>
        <w:t xml:space="preserve"> Rather, it is a significant legal issue within family law, child law as well as human rights law.</w:t>
      </w:r>
      <w:r>
        <w:rPr>
          <w:rStyle w:val="style38"/>
          <w:rFonts w:ascii="Times New Roman" w:cs="Times New Roman" w:hAnsi="Times New Roman"/>
          <w:sz w:val="24"/>
          <w:szCs w:val="24"/>
        </w:rPr>
        <w:footnoteReference w:id="12"/>
      </w:r>
    </w:p>
    <w:p w14:paraId="625487EC">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At the global level, infertility remains a reproductive health concern and it has contributed to the growing use of ART across many jurisdictions.</w:t>
      </w:r>
      <w:r>
        <w:rPr>
          <w:rStyle w:val="style38"/>
          <w:rFonts w:ascii="Times New Roman" w:cs="Times New Roman" w:hAnsi="Times New Roman"/>
          <w:sz w:val="24"/>
          <w:szCs w:val="24"/>
        </w:rPr>
        <w:footnoteReference w:id="13"/>
      </w:r>
      <w:r>
        <w:rPr>
          <w:rFonts w:ascii="Times New Roman" w:cs="Times New Roman" w:hAnsi="Times New Roman"/>
          <w:sz w:val="24"/>
          <w:szCs w:val="24"/>
        </w:rPr>
        <w:t xml:space="preserve"> The WHO asserts that approximately one in six individuals worldwide will experience infertility at some stage in their lives.</w:t>
      </w:r>
      <w:r>
        <w:rPr>
          <w:rStyle w:val="style38"/>
          <w:rFonts w:ascii="Times New Roman" w:cs="Times New Roman" w:hAnsi="Times New Roman"/>
          <w:sz w:val="24"/>
          <w:szCs w:val="24"/>
        </w:rPr>
        <w:footnoteReference w:id="14"/>
      </w:r>
      <w:r>
        <w:rPr>
          <w:rFonts w:ascii="Times New Roman" w:cs="Times New Roman" w:hAnsi="Times New Roman"/>
          <w:sz w:val="24"/>
          <w:szCs w:val="24"/>
        </w:rPr>
        <w:t xml:space="preserve"> This shows that the demand for reproductive assistance is not marginal.</w:t>
      </w:r>
      <w:r>
        <w:rPr>
          <w:rStyle w:val="style38"/>
          <w:rFonts w:ascii="Times New Roman" w:cs="Times New Roman" w:hAnsi="Times New Roman"/>
          <w:sz w:val="24"/>
          <w:szCs w:val="24"/>
        </w:rPr>
        <w:footnoteReference w:id="15"/>
      </w:r>
      <w:r>
        <w:rPr>
          <w:rFonts w:ascii="Times New Roman" w:cs="Times New Roman" w:hAnsi="Times New Roman"/>
          <w:sz w:val="24"/>
          <w:szCs w:val="24"/>
        </w:rPr>
        <w:t xml:space="preserve"> Rather, it is widespread. At the same time, states have responded differently to surrogacy and ART.</w:t>
      </w:r>
      <w:r>
        <w:rPr>
          <w:rStyle w:val="style38"/>
          <w:rFonts w:ascii="Times New Roman" w:cs="Times New Roman" w:hAnsi="Times New Roman"/>
          <w:sz w:val="24"/>
          <w:szCs w:val="24"/>
        </w:rPr>
        <w:footnoteReference w:id="16"/>
      </w:r>
    </w:p>
    <w:p w14:paraId="768EF0D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recent times, surrogacy and ART are being used by people and partners aiming to address infertility and various reproductive issues.</w:t>
      </w:r>
      <w:r>
        <w:rPr>
          <w:rStyle w:val="style38"/>
          <w:rFonts w:ascii="Times New Roman" w:cs="Times New Roman" w:hAnsi="Times New Roman"/>
          <w:sz w:val="24"/>
          <w:szCs w:val="24"/>
        </w:rPr>
        <w:footnoteReference w:id="17"/>
      </w:r>
      <w:r>
        <w:rPr>
          <w:rFonts w:ascii="Times New Roman" w:cs="Times New Roman" w:hAnsi="Times New Roman"/>
          <w:sz w:val="24"/>
          <w:szCs w:val="24"/>
          <w:lang w:val="en-US"/>
        </w:rPr>
        <w:t xml:space="preserve"> Nonetheless, as at the time of this research,</w:t>
      </w:r>
      <w:r>
        <w:rPr>
          <w:rStyle w:val="style38"/>
          <w:rFonts w:ascii="Times New Roman" w:cs="Times New Roman" w:hAnsi="Times New Roman"/>
          <w:sz w:val="24"/>
          <w:szCs w:val="24"/>
          <w:lang w:val="en-US"/>
        </w:rPr>
        <w:footnoteReference w:id="18"/>
      </w:r>
      <w:r>
        <w:rPr>
          <w:rFonts w:ascii="Times New Roman" w:cs="Times New Roman" w:hAnsi="Times New Roman"/>
          <w:sz w:val="24"/>
          <w:szCs w:val="24"/>
          <w:lang w:val="en-US"/>
        </w:rPr>
        <w:t xml:space="preserve"> Nigeria lacks a comprehensive statute regulating surrogacy and defining the legal parentage of children born through ART. </w:t>
      </w:r>
      <w:r>
        <w:rPr>
          <w:rFonts w:ascii="Times New Roman" w:cs="Times New Roman" w:hAnsi="Times New Roman"/>
          <w:sz w:val="24"/>
          <w:szCs w:val="24"/>
        </w:rPr>
        <w:t xml:space="preserve"> Existing </w:t>
      </w:r>
      <w:r>
        <w:rPr>
          <w:rFonts w:ascii="Times New Roman" w:cs="Times New Roman" w:hAnsi="Times New Roman"/>
          <w:sz w:val="24"/>
          <w:szCs w:val="24"/>
          <w:lang w:val="en-US"/>
        </w:rPr>
        <w:t>laws on the subjectare</w:t>
      </w:r>
      <w:r>
        <w:rPr>
          <w:rFonts w:ascii="Times New Roman" w:cs="Times New Roman" w:hAnsi="Times New Roman"/>
          <w:sz w:val="24"/>
          <w:szCs w:val="24"/>
        </w:rPr>
        <w:t xml:space="preserve"> scattered across statutes and regulations.</w:t>
      </w:r>
      <w:r>
        <w:rPr>
          <w:rStyle w:val="style38"/>
          <w:rFonts w:ascii="Times New Roman" w:cs="Times New Roman" w:hAnsi="Times New Roman"/>
          <w:sz w:val="24"/>
          <w:szCs w:val="24"/>
        </w:rPr>
        <w:footnoteReference w:id="19"/>
      </w:r>
      <w:r>
        <w:rPr>
          <w:rFonts w:ascii="Times New Roman" w:cs="Times New Roman" w:hAnsi="Times New Roman"/>
          <w:sz w:val="24"/>
          <w:szCs w:val="24"/>
        </w:rPr>
        <w:t xml:space="preserve"> Obadina observed that fragmentation creates uncertainty regarding The situation of prospective parents, gestational carriers, contributors, and the offspring.</w:t>
      </w:r>
      <w:r>
        <w:rPr>
          <w:rStyle w:val="style38"/>
          <w:rFonts w:ascii="Times New Roman" w:cs="Times New Roman" w:hAnsi="Times New Roman"/>
          <w:sz w:val="24"/>
          <w:szCs w:val="24"/>
        </w:rPr>
        <w:footnoteReference w:id="20"/>
      </w:r>
      <w:r>
        <w:rPr>
          <w:rFonts w:ascii="Times New Roman" w:cs="Times New Roman" w:hAnsi="Times New Roman"/>
          <w:sz w:val="24"/>
          <w:szCs w:val="24"/>
        </w:rPr>
        <w:t xml:space="preserve"> This is compounded by cultural, religious and social attitudes toward reproduction, lineage, and motherhood.</w:t>
      </w:r>
      <w:r>
        <w:rPr>
          <w:rStyle w:val="style38"/>
          <w:rFonts w:ascii="Times New Roman" w:cs="Times New Roman" w:hAnsi="Times New Roman"/>
          <w:sz w:val="24"/>
          <w:szCs w:val="24"/>
        </w:rPr>
        <w:footnoteReference w:id="21"/>
      </w:r>
      <w:r>
        <w:rPr>
          <w:rFonts w:ascii="Times New Roman" w:cs="Times New Roman" w:hAnsi="Times New Roman"/>
          <w:sz w:val="24"/>
          <w:szCs w:val="24"/>
        </w:rPr>
        <w:t xml:space="preserve"> This often influences how surrogacy is perceived and contested in practice.</w:t>
      </w:r>
      <w:r>
        <w:rPr>
          <w:rStyle w:val="style38"/>
          <w:rFonts w:ascii="Times New Roman" w:cs="Times New Roman" w:hAnsi="Times New Roman"/>
          <w:sz w:val="24"/>
          <w:szCs w:val="24"/>
        </w:rPr>
        <w:footnoteReference w:id="22"/>
      </w:r>
    </w:p>
    <w:p w14:paraId="618E628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Current trends also show that the problem is no longer theoretical.</w:t>
      </w:r>
      <w:r>
        <w:rPr>
          <w:rStyle w:val="style38"/>
          <w:rFonts w:ascii="Times New Roman" w:cs="Times New Roman" w:hAnsi="Times New Roman"/>
          <w:sz w:val="24"/>
          <w:szCs w:val="24"/>
        </w:rPr>
        <w:footnoteReference w:id="23"/>
      </w:r>
      <w:r>
        <w:rPr>
          <w:rFonts w:ascii="Times New Roman" w:cs="Times New Roman" w:hAnsi="Times New Roman"/>
          <w:sz w:val="24"/>
          <w:szCs w:val="24"/>
        </w:rPr>
        <w:t xml:space="preserve"> Babies born through gestational surrogacy face difficulties involving consent to treatment, the naming of children, and uncertainty over who is legally entitled to make decisions for the child.</w:t>
      </w:r>
      <w:r>
        <w:rPr>
          <w:rStyle w:val="style38"/>
          <w:rFonts w:ascii="Times New Roman" w:cs="Times New Roman" w:hAnsi="Times New Roman"/>
          <w:sz w:val="24"/>
          <w:szCs w:val="24"/>
        </w:rPr>
        <w:footnoteReference w:id="24"/>
      </w:r>
      <w:r>
        <w:rPr>
          <w:rFonts w:ascii="Times New Roman" w:cs="Times New Roman" w:hAnsi="Times New Roman"/>
          <w:sz w:val="24"/>
          <w:szCs w:val="24"/>
        </w:rPr>
        <w:t xml:space="preserve"> In broader legal terms, uncertainty over parentage may affect birth registration, nationality, inheritance, maintenance, custody, and identity.</w:t>
      </w:r>
      <w:r>
        <w:rPr>
          <w:rStyle w:val="style38"/>
          <w:rFonts w:ascii="Times New Roman" w:cs="Times New Roman" w:hAnsi="Times New Roman"/>
          <w:sz w:val="24"/>
          <w:szCs w:val="24"/>
        </w:rPr>
        <w:footnoteReference w:id="25"/>
      </w:r>
      <w:r>
        <w:rPr>
          <w:rFonts w:ascii="Times New Roman" w:cs="Times New Roman" w:hAnsi="Times New Roman"/>
          <w:sz w:val="24"/>
          <w:szCs w:val="24"/>
        </w:rPr>
        <w:t xml:space="preserve"> Even so, international child-rights standards </w:t>
      </w:r>
      <w:r>
        <w:rPr>
          <w:rFonts w:ascii="Times New Roman" w:cs="Times New Roman" w:hAnsi="Times New Roman"/>
          <w:sz w:val="24"/>
          <w:szCs w:val="24"/>
          <w:lang w:val="en-US"/>
        </w:rPr>
        <w:t>recognize</w:t>
      </w:r>
      <w:r>
        <w:rPr>
          <w:rFonts w:ascii="Times New Roman" w:cs="Times New Roman" w:hAnsi="Times New Roman"/>
          <w:sz w:val="24"/>
          <w:szCs w:val="24"/>
        </w:rPr>
        <w:t xml:space="preserve"> that every child is entitled to be registered at birth, to possess a name and nationality, and whenever feasible, to be known and nurtured by their parents.</w:t>
      </w:r>
      <w:r>
        <w:rPr>
          <w:rStyle w:val="style38"/>
          <w:rFonts w:ascii="Times New Roman" w:cs="Times New Roman" w:hAnsi="Times New Roman"/>
          <w:sz w:val="24"/>
          <w:szCs w:val="24"/>
        </w:rPr>
        <w:footnoteReference w:id="26"/>
      </w:r>
      <w:r>
        <w:rPr>
          <w:rFonts w:ascii="Times New Roman" w:cs="Times New Roman" w:hAnsi="Times New Roman"/>
          <w:sz w:val="24"/>
          <w:szCs w:val="24"/>
        </w:rPr>
        <w:t xml:space="preserve"> It is within this context that the present study is situated. The study focuses on children born through surrogacy and ART in Nigeria and it examines the legal determination of their parentage. </w:t>
      </w:r>
    </w:p>
    <w:bookmarkStart w:id="12" w:name="_Toc233678217"/>
    <w:p w14:paraId="2AD5ACD3">
      <w:pPr>
        <w:pStyle w:val="style2"/>
        <w:rPr/>
      </w:pPr>
      <w:r>
        <w:t xml:space="preserve">1.2 </w:t>
      </w:r>
      <w:r>
        <w:tab/>
      </w:r>
      <w:r>
        <w:t>Statement of the Problem</w:t>
      </w:r>
      <w:bookmarkEnd w:id="12"/>
    </w:p>
    <w:p w14:paraId="7D6D788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development of ART and surrogacy has challenged the traditional legal assumptions on which parentage has long been based.</w:t>
      </w:r>
      <w:r>
        <w:rPr>
          <w:rStyle w:val="style38"/>
          <w:rFonts w:ascii="Times New Roman" w:cs="Times New Roman" w:hAnsi="Times New Roman"/>
          <w:sz w:val="24"/>
          <w:szCs w:val="24"/>
        </w:rPr>
        <w:footnoteReference w:id="27"/>
      </w:r>
      <w:r>
        <w:rPr>
          <w:rFonts w:ascii="Times New Roman" w:cs="Times New Roman" w:hAnsi="Times New Roman"/>
          <w:sz w:val="24"/>
          <w:szCs w:val="24"/>
        </w:rPr>
        <w:t xml:space="preserve"> Under conventional family law, </w:t>
      </w:r>
      <w:r>
        <w:rPr>
          <w:rFonts w:ascii="Times New Roman" w:cs="Times New Roman" w:hAnsi="Times New Roman"/>
          <w:sz w:val="24"/>
          <w:szCs w:val="24"/>
          <w:lang w:val="en-US"/>
        </w:rPr>
        <w:t xml:space="preserve">that is, under customary and common law principles, </w:t>
      </w:r>
      <w:r>
        <w:rPr>
          <w:rFonts w:ascii="Times New Roman" w:cs="Times New Roman" w:hAnsi="Times New Roman"/>
          <w:sz w:val="24"/>
          <w:szCs w:val="24"/>
        </w:rPr>
        <w:t>motherhood is linked to childbirth.</w:t>
      </w:r>
      <w:r>
        <w:rPr>
          <w:rStyle w:val="style38"/>
          <w:rFonts w:ascii="Times New Roman" w:cs="Times New Roman" w:hAnsi="Times New Roman"/>
          <w:sz w:val="24"/>
          <w:szCs w:val="24"/>
        </w:rPr>
        <w:footnoteReference w:id="28"/>
      </w:r>
      <w:r>
        <w:rPr>
          <w:rFonts w:ascii="Times New Roman" w:cs="Times New Roman" w:hAnsi="Times New Roman"/>
          <w:sz w:val="24"/>
          <w:szCs w:val="24"/>
        </w:rPr>
        <w:t xml:space="preserve"> On the other hand, fatherhood is often determined through marriage, acknowledgment, or biological connection.</w:t>
      </w:r>
      <w:r>
        <w:rPr>
          <w:rStyle w:val="style38"/>
          <w:rFonts w:ascii="Times New Roman" w:cs="Times New Roman" w:hAnsi="Times New Roman"/>
          <w:sz w:val="24"/>
          <w:szCs w:val="24"/>
        </w:rPr>
        <w:footnoteReference w:id="29"/>
      </w:r>
      <w:r>
        <w:rPr>
          <w:rFonts w:ascii="Times New Roman" w:cs="Times New Roman" w:hAnsi="Times New Roman"/>
          <w:sz w:val="24"/>
          <w:szCs w:val="24"/>
        </w:rPr>
        <w:t xml:space="preserve"> However, the gestational, genetic, and intentional dimensions of parenthood in surrogacy and ART arrangements may be divided among different persons.</w:t>
      </w:r>
      <w:r>
        <w:rPr>
          <w:rStyle w:val="style38"/>
          <w:rFonts w:ascii="Times New Roman" w:cs="Times New Roman" w:hAnsi="Times New Roman"/>
          <w:sz w:val="24"/>
          <w:szCs w:val="24"/>
        </w:rPr>
        <w:footnoteReference w:id="30"/>
      </w:r>
      <w:r>
        <w:rPr>
          <w:rFonts w:ascii="Times New Roman" w:cs="Times New Roman" w:hAnsi="Times New Roman"/>
          <w:sz w:val="24"/>
          <w:szCs w:val="24"/>
        </w:rPr>
        <w:t>In effect, it becomes uncertain who in law should be the lawful parents of a child conceived through these methods.</w:t>
      </w:r>
      <w:r>
        <w:rPr>
          <w:rStyle w:val="style38"/>
          <w:rFonts w:ascii="Times New Roman" w:cs="Times New Roman" w:hAnsi="Times New Roman"/>
          <w:sz w:val="24"/>
          <w:szCs w:val="24"/>
        </w:rPr>
        <w:footnoteReference w:id="31"/>
      </w:r>
      <w:r>
        <w:rPr>
          <w:rFonts w:ascii="Times New Roman" w:cs="Times New Roman" w:hAnsi="Times New Roman"/>
          <w:sz w:val="24"/>
          <w:szCs w:val="24"/>
        </w:rPr>
        <w:t xml:space="preserve"> In Nigeria, there is an absence of a thorough legal structure that governs surrogacy and assisted reproductive technology, nor is there a system in place to establish the parentage of children conceived through these methods.</w:t>
      </w:r>
      <w:r>
        <w:rPr>
          <w:rStyle w:val="style38"/>
          <w:rFonts w:ascii="Times New Roman" w:cs="Times New Roman" w:hAnsi="Times New Roman"/>
          <w:sz w:val="24"/>
          <w:szCs w:val="24"/>
        </w:rPr>
        <w:footnoteReference w:id="32"/>
      </w:r>
      <w:r>
        <w:rPr>
          <w:rFonts w:ascii="Times New Roman" w:cs="Times New Roman" w:hAnsi="Times New Roman"/>
          <w:sz w:val="24"/>
          <w:szCs w:val="24"/>
        </w:rPr>
        <w:t xml:space="preserve"> Existing laws</w:t>
      </w:r>
      <w:r>
        <w:rPr>
          <w:rStyle w:val="style38"/>
          <w:rFonts w:ascii="Times New Roman" w:cs="Times New Roman" w:hAnsi="Times New Roman"/>
          <w:sz w:val="24"/>
          <w:szCs w:val="24"/>
        </w:rPr>
        <w:footnoteReference w:id="33"/>
      </w:r>
      <w:r>
        <w:rPr>
          <w:rFonts w:ascii="Times New Roman" w:cs="Times New Roman" w:hAnsi="Times New Roman"/>
          <w:sz w:val="24"/>
          <w:szCs w:val="24"/>
        </w:rPr>
        <w:t xml:space="preserve"> do not address these issues. As a result, the intended parents, surrogate mothers, donors, medical practitioners, and the child may be left in a state of legal uncertainty.</w:t>
      </w:r>
      <w:r>
        <w:rPr>
          <w:rStyle w:val="style38"/>
          <w:rFonts w:ascii="Times New Roman" w:cs="Times New Roman" w:hAnsi="Times New Roman"/>
          <w:sz w:val="24"/>
          <w:szCs w:val="24"/>
        </w:rPr>
        <w:footnoteReference w:id="34"/>
      </w:r>
    </w:p>
    <w:p w14:paraId="1ADBD3F5">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This may affect birth registration, citizenship, custody, maintenance, inheritance, identity, and access to remedies where disputes arise.</w:t>
      </w:r>
      <w:r>
        <w:rPr>
          <w:rStyle w:val="style38"/>
          <w:rFonts w:ascii="Times New Roman" w:cs="Times New Roman" w:hAnsi="Times New Roman"/>
          <w:sz w:val="24"/>
          <w:szCs w:val="24"/>
        </w:rPr>
        <w:footnoteReference w:id="35"/>
      </w:r>
      <w:r>
        <w:rPr>
          <w:rFonts w:ascii="Times New Roman" w:cs="Times New Roman" w:hAnsi="Times New Roman"/>
          <w:sz w:val="24"/>
          <w:szCs w:val="24"/>
        </w:rPr>
        <w:t xml:space="preserve"> It may also expose children born through surrogacy and ART to discrimination or gaps in legal protection.</w:t>
      </w:r>
      <w:r>
        <w:rPr>
          <w:rStyle w:val="style38"/>
          <w:rFonts w:ascii="Times New Roman" w:cs="Times New Roman" w:hAnsi="Times New Roman"/>
          <w:sz w:val="24"/>
          <w:szCs w:val="24"/>
        </w:rPr>
        <w:footnoteReference w:id="36"/>
      </w:r>
      <w:r>
        <w:rPr>
          <w:rFonts w:ascii="Times New Roman" w:cs="Times New Roman" w:hAnsi="Times New Roman"/>
          <w:sz w:val="24"/>
          <w:szCs w:val="24"/>
        </w:rPr>
        <w:t xml:space="preserve"> Furthermore, the likelihood of exploitation, fraud, coercion, as well as The absence of clear regulations heightens the complexity of legal conflicts in international agreements.</w:t>
      </w:r>
      <w:r>
        <w:rPr>
          <w:rStyle w:val="style38"/>
          <w:rFonts w:ascii="Times New Roman" w:cs="Times New Roman" w:hAnsi="Times New Roman"/>
          <w:sz w:val="24"/>
          <w:szCs w:val="24"/>
        </w:rPr>
        <w:footnoteReference w:id="37"/>
      </w:r>
      <w:r>
        <w:rPr>
          <w:rFonts w:ascii="Times New Roman" w:cs="Times New Roman" w:hAnsi="Times New Roman"/>
          <w:sz w:val="24"/>
          <w:szCs w:val="24"/>
        </w:rPr>
        <w:t xml:space="preserve"> Therefore, the issue lies in the fact that the existing legal system in Nigeria fails to clearly define and safeguard parentage concerning children conceived through surrogacy and ART.</w:t>
      </w:r>
      <w:r>
        <w:rPr>
          <w:rStyle w:val="style38"/>
          <w:rFonts w:ascii="Times New Roman" w:cs="Times New Roman" w:hAnsi="Times New Roman"/>
          <w:sz w:val="24"/>
          <w:szCs w:val="24"/>
        </w:rPr>
        <w:footnoteReference w:id="38"/>
      </w:r>
      <w:r>
        <w:rPr>
          <w:rFonts w:ascii="Times New Roman" w:cs="Times New Roman" w:hAnsi="Times New Roman"/>
          <w:sz w:val="24"/>
          <w:szCs w:val="24"/>
        </w:rPr>
        <w:t xml:space="preserve"> It is this gap that necessitates a legal examination of the incidents and challenges of parentage in such arrangements.</w:t>
      </w:r>
      <w:r>
        <w:rPr>
          <w:rStyle w:val="style38"/>
          <w:rFonts w:ascii="Times New Roman" w:cs="Times New Roman" w:hAnsi="Times New Roman"/>
          <w:sz w:val="24"/>
          <w:szCs w:val="24"/>
        </w:rPr>
        <w:footnoteReference w:id="39"/>
      </w:r>
    </w:p>
    <w:p w14:paraId="2179F3C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Notably, recent legislative efforts to regulate surrogacy in Nigeria do not fully resolve this problem.</w:t>
      </w:r>
      <w:r>
        <w:rPr>
          <w:rStyle w:val="style38"/>
          <w:rFonts w:ascii="Times New Roman" w:cs="Times New Roman" w:hAnsi="Times New Roman"/>
          <w:sz w:val="24"/>
          <w:szCs w:val="24"/>
        </w:rPr>
        <w:footnoteReference w:id="40"/>
      </w:r>
      <w:r>
        <w:rPr>
          <w:rFonts w:ascii="Times New Roman" w:cs="Times New Roman" w:hAnsi="Times New Roman"/>
          <w:i/>
          <w:iCs/>
          <w:sz w:val="24"/>
          <w:szCs w:val="24"/>
        </w:rPr>
        <w:t xml:space="preserve">The Surrogacy Bill, 2024 </w:t>
      </w:r>
      <w:r>
        <w:rPr>
          <w:rFonts w:ascii="Times New Roman" w:cs="Times New Roman" w:hAnsi="Times New Roman"/>
          <w:sz w:val="24"/>
          <w:szCs w:val="24"/>
        </w:rPr>
        <w:t>Aims to create a regulatory structure for surrogacy agreements, which involves setting up a Surrogacy Regulatory Commission and overseeing the registration and management of these arrangements.</w:t>
      </w:r>
      <w:r>
        <w:rPr>
          <w:rStyle w:val="style38"/>
          <w:rFonts w:ascii="Times New Roman" w:cs="Times New Roman" w:hAnsi="Times New Roman"/>
          <w:sz w:val="24"/>
          <w:szCs w:val="24"/>
        </w:rPr>
        <w:footnoteReference w:id="41"/>
      </w:r>
      <w:r>
        <w:rPr>
          <w:rFonts w:ascii="Times New Roman" w:cs="Times New Roman" w:hAnsi="Times New Roman"/>
          <w:sz w:val="24"/>
          <w:szCs w:val="24"/>
        </w:rPr>
        <w:t xml:space="preserve"> Nonetheless, although the Bill tackles procedural, ethical, and institutional elements of surrogacy, it fails to establish a sufficiently clear and functional framework for ascertaining the legal parentage of children born from these arrangements.</w:t>
      </w:r>
      <w:r>
        <w:rPr>
          <w:rStyle w:val="style38"/>
          <w:rFonts w:ascii="Times New Roman" w:cs="Times New Roman" w:hAnsi="Times New Roman"/>
          <w:sz w:val="24"/>
          <w:szCs w:val="24"/>
        </w:rPr>
        <w:footnoteReference w:id="42"/>
      </w:r>
      <w:r>
        <w:rPr>
          <w:rFonts w:ascii="Times New Roman" w:cs="Times New Roman" w:hAnsi="Times New Roman"/>
          <w:sz w:val="24"/>
          <w:szCs w:val="24"/>
        </w:rPr>
        <w:t xml:space="preserve"> Specifically, while the Bill characterises “intended parents” as individuals who will legally parent a child born via surrogacy, this clause is primarily definitional and does not, on its own, create a distinct and enforceable method for assigning or transferring parentage.</w:t>
      </w:r>
      <w:r>
        <w:rPr>
          <w:rStyle w:val="style38"/>
          <w:rFonts w:ascii="Times New Roman" w:cs="Times New Roman" w:hAnsi="Times New Roman"/>
          <w:sz w:val="24"/>
          <w:szCs w:val="24"/>
        </w:rPr>
        <w:footnoteReference w:id="43"/>
      </w:r>
      <w:r>
        <w:rPr>
          <w:rFonts w:ascii="Times New Roman" w:cs="Times New Roman" w:hAnsi="Times New Roman"/>
          <w:sz w:val="24"/>
          <w:szCs w:val="24"/>
        </w:rPr>
        <w:t xml:space="preserve"> The Bill does not expressly indicate whether legal parentage vests automatically at birth, by operation of law, or only upon compliance with specific procedural requirements such as registration or judicial approval.</w:t>
      </w:r>
      <w:r>
        <w:rPr>
          <w:rStyle w:val="style38"/>
          <w:rFonts w:ascii="Times New Roman" w:cs="Times New Roman" w:hAnsi="Times New Roman"/>
          <w:sz w:val="24"/>
          <w:szCs w:val="24"/>
        </w:rPr>
        <w:footnoteReference w:id="44"/>
      </w:r>
      <w:r>
        <w:rPr>
          <w:rFonts w:ascii="Times New Roman" w:cs="Times New Roman" w:hAnsi="Times New Roman"/>
          <w:sz w:val="24"/>
          <w:szCs w:val="24"/>
        </w:rPr>
        <w:t xml:space="preserve"> Nor does it provide a comprehensive framework for resolving competing claims to parenthood in cases of dispute or non-compliance.</w:t>
      </w:r>
      <w:r>
        <w:rPr>
          <w:rStyle w:val="style38"/>
          <w:rFonts w:ascii="Times New Roman" w:cs="Times New Roman" w:hAnsi="Times New Roman"/>
          <w:sz w:val="24"/>
          <w:szCs w:val="24"/>
        </w:rPr>
        <w:footnoteReference w:id="45"/>
      </w:r>
      <w:r>
        <w:rPr>
          <w:rFonts w:ascii="Times New Roman" w:cs="Times New Roman" w:hAnsi="Times New Roman"/>
          <w:sz w:val="24"/>
          <w:szCs w:val="24"/>
        </w:rPr>
        <w:t xml:space="preserve"> Consequently, doubts about the child's legal status and the acknowledgement of intended parents would probably continue to exist, even with the suggested legal framework.</w:t>
      </w:r>
      <w:r>
        <w:rPr>
          <w:rStyle w:val="style38"/>
          <w:rFonts w:ascii="Times New Roman" w:cs="Times New Roman" w:hAnsi="Times New Roman"/>
          <w:sz w:val="24"/>
          <w:szCs w:val="24"/>
        </w:rPr>
        <w:footnoteReference w:id="46"/>
      </w:r>
      <w:r>
        <w:rPr>
          <w:rFonts w:ascii="Times New Roman" w:cs="Times New Roman" w:hAnsi="Times New Roman"/>
          <w:sz w:val="24"/>
          <w:szCs w:val="24"/>
        </w:rPr>
        <w:t xml:space="preserve"> This legislative gap reinforces the problem of this study, namely that the determination of parentage in surrogacy and ART remains unclear in Nigerian law, both under existing legal frameworks and under proposed reforms.</w:t>
      </w:r>
      <w:r>
        <w:rPr>
          <w:rStyle w:val="style38"/>
          <w:rFonts w:ascii="Times New Roman" w:cs="Times New Roman" w:hAnsi="Times New Roman"/>
          <w:sz w:val="24"/>
          <w:szCs w:val="24"/>
        </w:rPr>
        <w:footnoteReference w:id="47"/>
      </w:r>
    </w:p>
    <w:p w14:paraId="5F466E79">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Furthermore, the Bill adopts a restrictive approach to access by prohibiting commercial surrogacy and permitting only altruistic arrangements.</w:t>
      </w:r>
      <w:r>
        <w:rPr>
          <w:rStyle w:val="style38"/>
          <w:rFonts w:ascii="Times New Roman" w:cs="Times New Roman" w:hAnsi="Times New Roman"/>
          <w:sz w:val="24"/>
          <w:szCs w:val="24"/>
        </w:rPr>
        <w:footnoteReference w:id="48"/>
      </w:r>
      <w:r>
        <w:rPr>
          <w:rFonts w:ascii="Times New Roman" w:cs="Times New Roman" w:hAnsi="Times New Roman"/>
          <w:sz w:val="24"/>
          <w:szCs w:val="24"/>
        </w:rPr>
        <w:t xml:space="preserve"> Eligibility is limited primarily to married couples who are unable to have a child on their own and, in limited circumstances, to single individuals who are medically incapable of reproduction</w:t>
      </w:r>
      <w:r>
        <w:rPr>
          <w:rFonts w:ascii="Times New Roman" w:cs="Times New Roman" w:hAnsi="Times New Roman"/>
          <w:sz w:val="24"/>
          <w:szCs w:val="24"/>
          <w:lang w:val="en-US"/>
        </w:rPr>
        <w:t>, thereby excluding women who are physically capable of bearing children but choose not to do so, a limitation that raises questions about reproductive autonomy</w:t>
      </w:r>
      <w:r>
        <w:rPr>
          <w:rFonts w:ascii="Times New Roman" w:cs="Times New Roman" w:hAnsi="Times New Roman"/>
          <w:sz w:val="24"/>
          <w:szCs w:val="24"/>
        </w:rPr>
        <w:t>.</w:t>
      </w:r>
      <w:r>
        <w:rPr>
          <w:rStyle w:val="style38"/>
          <w:rFonts w:ascii="Times New Roman" w:cs="Times New Roman" w:hAnsi="Times New Roman"/>
          <w:sz w:val="24"/>
          <w:szCs w:val="24"/>
        </w:rPr>
        <w:footnoteReference w:id="49"/>
      </w:r>
      <w:r>
        <w:rPr>
          <w:rFonts w:ascii="Times New Roman" w:cs="Times New Roman" w:hAnsi="Times New Roman"/>
          <w:sz w:val="24"/>
          <w:szCs w:val="24"/>
          <w:lang w:val="en-US"/>
        </w:rPr>
        <w:t xml:space="preserve">In the South African case of </w:t>
      </w:r>
      <w:r>
        <w:rPr>
          <w:rFonts w:ascii="Times New Roman" w:cs="Times New Roman" w:hAnsi="Times New Roman"/>
          <w:i/>
          <w:iCs/>
          <w:sz w:val="24"/>
          <w:szCs w:val="24"/>
          <w:lang w:val="en-US"/>
        </w:rPr>
        <w:t xml:space="preserve">AB v. Minister of Social Development, </w:t>
      </w:r>
      <w:r>
        <w:rPr>
          <w:rFonts w:ascii="Times New Roman" w:cs="Times New Roman" w:hAnsi="Times New Roman"/>
          <w:sz w:val="24"/>
          <w:szCs w:val="24"/>
          <w:lang w:val="en-US"/>
        </w:rPr>
        <w:t>the issue before the court was whether legislation that effectively excluded a single participating in a surrogacy agreement was constitutional.</w:t>
      </w:r>
      <w:r>
        <w:rPr>
          <w:rStyle w:val="style38"/>
          <w:rFonts w:ascii="Times New Roman" w:cs="Times New Roman" w:hAnsi="Times New Roman"/>
          <w:sz w:val="24"/>
          <w:szCs w:val="24"/>
          <w:lang w:val="en-US"/>
        </w:rPr>
        <w:footnoteReference w:id="50"/>
      </w:r>
      <w:r>
        <w:rPr>
          <w:rFonts w:ascii="Times New Roman" w:cs="Times New Roman" w:hAnsi="Times New Roman"/>
          <w:sz w:val="24"/>
          <w:szCs w:val="24"/>
          <w:lang w:val="en-US"/>
        </w:rPr>
        <w:t xml:space="preserve"> The Constitutional Court held that the restriction unjustifiably limited the applicant’s reproductive autonomy and dignity.</w:t>
      </w:r>
      <w:r>
        <w:rPr>
          <w:rStyle w:val="style38"/>
          <w:rFonts w:ascii="Times New Roman" w:cs="Times New Roman" w:hAnsi="Times New Roman"/>
          <w:sz w:val="24"/>
          <w:szCs w:val="24"/>
          <w:lang w:val="en-US"/>
        </w:rPr>
        <w:footnoteReference w:id="51"/>
      </w:r>
      <w:r>
        <w:rPr>
          <w:rFonts w:ascii="Times New Roman" w:cs="Times New Roman" w:hAnsi="Times New Roman"/>
          <w:sz w:val="24"/>
          <w:szCs w:val="24"/>
          <w:lang w:val="en-US"/>
        </w:rPr>
        <w:t xml:space="preserve"> It stated that an individual intended parent could legally pursue surrogacy, as long as all legal criteria were fulfilled and the agreement was in the child's best interests.</w:t>
      </w:r>
      <w:r>
        <w:rPr>
          <w:rStyle w:val="style38"/>
          <w:rFonts w:ascii="Times New Roman" w:cs="Times New Roman" w:hAnsi="Times New Roman"/>
          <w:sz w:val="24"/>
          <w:szCs w:val="24"/>
          <w:lang w:val="en-US"/>
        </w:rPr>
        <w:footnoteReference w:id="52"/>
      </w:r>
      <w:r>
        <w:rPr>
          <w:rFonts w:ascii="Times New Roman" w:cs="Times New Roman" w:hAnsi="Times New Roman"/>
          <w:sz w:val="24"/>
          <w:szCs w:val="24"/>
          <w:lang w:val="en-US"/>
        </w:rPr>
        <w:t xml:space="preserve"> This case is particularly significant for jurisdictions like Nigeria, as it affirms that surrogacy laws must evolve to accommodate diverse family structures while maintaining safeguards for the child.</w:t>
      </w:r>
      <w:r>
        <w:rPr>
          <w:rStyle w:val="style38"/>
          <w:rFonts w:ascii="Times New Roman" w:cs="Times New Roman" w:hAnsi="Times New Roman"/>
          <w:sz w:val="24"/>
          <w:szCs w:val="24"/>
          <w:lang w:val="en-US"/>
        </w:rPr>
        <w:footnoteReference w:id="53"/>
      </w:r>
    </w:p>
    <w:p w14:paraId="24188E4A">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While th</w:t>
      </w:r>
      <w:r>
        <w:rPr>
          <w:rFonts w:ascii="Times New Roman" w:cs="Times New Roman" w:hAnsi="Times New Roman"/>
          <w:sz w:val="24"/>
          <w:szCs w:val="24"/>
          <w:lang w:val="en-US"/>
        </w:rPr>
        <w:t>is</w:t>
      </w:r>
      <w:r>
        <w:rPr>
          <w:rFonts w:ascii="Times New Roman" w:cs="Times New Roman" w:hAnsi="Times New Roman"/>
          <w:sz w:val="24"/>
          <w:szCs w:val="24"/>
        </w:rPr>
        <w:t xml:space="preserve"> approach reflects an intention to prevent the commercialization and potential exploitation associated with surrogacy, it simultaneously narrows access to assisted reproductive arrangements and excludes other categories of intending parents.</w:t>
      </w:r>
      <w:r>
        <w:rPr>
          <w:rStyle w:val="style38"/>
          <w:rFonts w:ascii="Times New Roman" w:cs="Times New Roman" w:hAnsi="Times New Roman"/>
          <w:sz w:val="24"/>
          <w:szCs w:val="24"/>
        </w:rPr>
        <w:footnoteReference w:id="54"/>
      </w:r>
      <w:r>
        <w:rPr>
          <w:rFonts w:ascii="Times New Roman" w:cs="Times New Roman" w:hAnsi="Times New Roman"/>
          <w:sz w:val="24"/>
          <w:szCs w:val="24"/>
        </w:rPr>
        <w:t xml:space="preserve"> This raises broader concerns relating to equality, reproductive autonomy, and how well the law adapts to changing family dynamics.</w:t>
      </w:r>
      <w:r>
        <w:rPr>
          <w:rStyle w:val="style38"/>
          <w:rFonts w:ascii="Times New Roman" w:cs="Times New Roman" w:hAnsi="Times New Roman"/>
          <w:sz w:val="24"/>
          <w:szCs w:val="24"/>
        </w:rPr>
        <w:footnoteReference w:id="55"/>
      </w:r>
      <w:r>
        <w:rPr>
          <w:rFonts w:ascii="Times New Roman" w:cs="Times New Roman" w:hAnsi="Times New Roman"/>
          <w:sz w:val="24"/>
          <w:szCs w:val="24"/>
        </w:rPr>
        <w:t xml:space="preserve"> More importantly, these restrictions do not address the fundamental legal uncertainty surrounding the determination of parentage, thereby leaving unresolved the core issue at the heart of this study.</w:t>
      </w:r>
      <w:r>
        <w:rPr>
          <w:rStyle w:val="style38"/>
          <w:rFonts w:ascii="Times New Roman" w:cs="Times New Roman" w:hAnsi="Times New Roman"/>
          <w:sz w:val="24"/>
          <w:szCs w:val="24"/>
        </w:rPr>
        <w:footnoteReference w:id="56"/>
      </w:r>
      <w:r>
        <w:rPr>
          <w:rFonts w:ascii="Times New Roman" w:cs="Times New Roman" w:hAnsi="Times New Roman"/>
          <w:sz w:val="24"/>
          <w:szCs w:val="24"/>
          <w:lang w:val="en-US"/>
        </w:rPr>
        <w:t xml:space="preserve"> T</w:t>
      </w:r>
      <w:r>
        <w:rPr>
          <w:rFonts w:ascii="Times New Roman" w:cs="Times New Roman" w:hAnsi="Times New Roman"/>
          <w:sz w:val="24"/>
          <w:szCs w:val="24"/>
        </w:rPr>
        <w:t>his research would also clarify the law and strengthen protection for the child and other parties involved.</w:t>
      </w:r>
    </w:p>
    <w:bookmarkStart w:id="13" w:name="_Toc233678218"/>
    <w:p w14:paraId="2F61731B">
      <w:pPr>
        <w:pStyle w:val="style2"/>
        <w:rPr/>
      </w:pPr>
      <w:r>
        <w:t xml:space="preserve">1.3 </w:t>
      </w:r>
      <w:r>
        <w:tab/>
      </w:r>
      <w:r>
        <w:t>Research Questions</w:t>
      </w:r>
      <w:bookmarkEnd w:id="13"/>
    </w:p>
    <w:p w14:paraId="197F2EBC">
      <w:pPr>
        <w:pStyle w:val="style66"/>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Building on the previous discussion of the issue, this research is directed by the subsequent questions:</w:t>
      </w:r>
    </w:p>
    <w:p w14:paraId="3EB101F0">
      <w:pPr>
        <w:pStyle w:val="style66"/>
        <w:numPr>
          <w:ilvl w:val="0"/>
          <w:numId w:val="1"/>
        </w:numPr>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To what extent do traditional common-law presumptions of parentage (</w:t>
      </w:r>
      <w:r>
        <w:rPr>
          <w:rFonts w:ascii="Times New Roman" w:cs="Times New Roman" w:hAnsi="Times New Roman"/>
          <w:i/>
          <w:iCs/>
          <w:sz w:val="24"/>
          <w:szCs w:val="24"/>
          <w:lang w:val="en-US"/>
        </w:rPr>
        <w:t>mater semper certa est</w:t>
      </w:r>
      <w:r>
        <w:rPr>
          <w:rFonts w:ascii="Times New Roman" w:cs="Times New Roman" w:hAnsi="Times New Roman"/>
          <w:sz w:val="24"/>
          <w:szCs w:val="24"/>
          <w:lang w:val="en-US"/>
        </w:rPr>
        <w:t xml:space="preserve"> and </w:t>
      </w:r>
      <w:r>
        <w:rPr>
          <w:rFonts w:ascii="Times New Roman" w:cs="Times New Roman" w:hAnsi="Times New Roman"/>
          <w:i/>
          <w:iCs/>
          <w:sz w:val="24"/>
          <w:szCs w:val="24"/>
          <w:lang w:val="en-US"/>
        </w:rPr>
        <w:t>pater est quem nuptiae demonstrant</w:t>
      </w:r>
      <w:r>
        <w:rPr>
          <w:rFonts w:ascii="Times New Roman" w:cs="Times New Roman" w:hAnsi="Times New Roman"/>
          <w:sz w:val="24"/>
          <w:szCs w:val="24"/>
          <w:lang w:val="en-US"/>
        </w:rPr>
        <w:t>)</w:t>
      </w:r>
      <w:r>
        <w:rPr>
          <w:rStyle w:val="style38"/>
          <w:rFonts w:ascii="Times New Roman" w:cs="Times New Roman" w:hAnsi="Times New Roman"/>
          <w:sz w:val="24"/>
          <w:szCs w:val="24"/>
          <w:lang w:val="en-US"/>
        </w:rPr>
        <w:footnoteReference w:id="57"/>
      </w:r>
      <w:r>
        <w:rPr>
          <w:rFonts w:ascii="Times New Roman" w:cs="Times New Roman" w:hAnsi="Times New Roman"/>
          <w:sz w:val="24"/>
          <w:szCs w:val="24"/>
          <w:lang w:val="en-US"/>
        </w:rPr>
        <w:t xml:space="preserve"> address the realities of children born through ART and surrogacy in Nigeria?</w:t>
      </w:r>
    </w:p>
    <w:p w14:paraId="01D00A97">
      <w:pPr>
        <w:pStyle w:val="style66"/>
        <w:numPr>
          <w:ilvl w:val="0"/>
          <w:numId w:val="1"/>
        </w:numPr>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How does the absence of specific statutory regulation of </w:t>
      </w:r>
      <w:r>
        <w:rPr>
          <w:rFonts w:ascii="Times New Roman" w:cs="Times New Roman" w:hAnsi="Times New Roman"/>
          <w:sz w:val="24"/>
          <w:szCs w:val="24"/>
        </w:rPr>
        <w:t>ART</w:t>
      </w:r>
      <w:r>
        <w:rPr>
          <w:rFonts w:ascii="Times New Roman" w:cs="Times New Roman" w:hAnsi="Times New Roman"/>
          <w:sz w:val="24"/>
          <w:szCs w:val="24"/>
          <w:lang w:val="en-US"/>
        </w:rPr>
        <w:t xml:space="preserve"> and surrogacy in Nigeria affect the legal recognition of intended parents, surrogate mothers, and donors, and what practical consequences arise for citizenship, inheritance and cross-border recognition?</w:t>
      </w:r>
    </w:p>
    <w:p w14:paraId="5ECE0017">
      <w:pPr>
        <w:pStyle w:val="style66"/>
        <w:numPr>
          <w:ilvl w:val="0"/>
          <w:numId w:val="1"/>
        </w:numPr>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What doctrinal tensions arise between intention-based parenthood, reproductive autonomy, contractual freedom, and the best interests of the child in </w:t>
      </w:r>
      <w:r>
        <w:rPr>
          <w:rFonts w:ascii="Times New Roman" w:cs="Times New Roman" w:hAnsi="Times New Roman"/>
          <w:sz w:val="24"/>
          <w:szCs w:val="24"/>
        </w:rPr>
        <w:t>assisted reproductive technologies (ART)</w:t>
      </w:r>
      <w:r>
        <w:rPr>
          <w:rFonts w:ascii="Times New Roman" w:cs="Times New Roman" w:hAnsi="Times New Roman"/>
          <w:sz w:val="24"/>
          <w:szCs w:val="24"/>
          <w:lang w:val="en-US"/>
        </w:rPr>
        <w:t xml:space="preserve"> and surrogacy arrangements in Nigeria?</w:t>
      </w:r>
    </w:p>
    <w:p w14:paraId="602C7DC5">
      <w:pPr>
        <w:pStyle w:val="style66"/>
        <w:numPr>
          <w:ilvl w:val="0"/>
          <w:numId w:val="1"/>
        </w:numPr>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How have selected comparative jurisdictions addressed parentage in </w:t>
      </w:r>
      <w:r>
        <w:rPr>
          <w:rFonts w:ascii="Times New Roman" w:cs="Times New Roman" w:hAnsi="Times New Roman"/>
          <w:sz w:val="24"/>
          <w:szCs w:val="24"/>
        </w:rPr>
        <w:t>assisted reproductive technologies (ART)</w:t>
      </w:r>
      <w:r>
        <w:rPr>
          <w:rFonts w:ascii="Times New Roman" w:cs="Times New Roman" w:hAnsi="Times New Roman"/>
          <w:sz w:val="24"/>
          <w:szCs w:val="24"/>
          <w:lang w:val="en-US"/>
        </w:rPr>
        <w:t xml:space="preserve"> and surrogacy, and what lessons or models can Nigeria draw from those approaches?</w:t>
      </w:r>
    </w:p>
    <w:p w14:paraId="4D18855F">
      <w:pPr>
        <w:pStyle w:val="style0"/>
        <w:numPr>
          <w:ilvl w:val="0"/>
          <w:numId w:val="1"/>
        </w:numPr>
        <w:spacing w:lineRule="auto" w:line="480"/>
        <w:jc w:val="both"/>
        <w:rPr>
          <w:rFonts w:ascii="Times New Roman" w:cs="Times New Roman" w:hAnsi="Times New Roman"/>
          <w:sz w:val="24"/>
          <w:szCs w:val="24"/>
        </w:rPr>
      </w:pPr>
      <w:r>
        <w:rPr>
          <w:rFonts w:ascii="Times New Roman" w:cs="Times New Roman" w:hAnsi="Times New Roman"/>
          <w:sz w:val="24"/>
          <w:szCs w:val="24"/>
          <w:lang w:val="en-US"/>
        </w:rPr>
        <w:t xml:space="preserve">What legal and regulatory </w:t>
      </w:r>
      <w:r>
        <w:rPr>
          <w:rFonts w:ascii="Times New Roman" w:cs="Times New Roman" w:hAnsi="Times New Roman"/>
          <w:sz w:val="24"/>
          <w:szCs w:val="24"/>
        </w:rPr>
        <w:t>responses may be necessary to address the challenges identified in the Nigerian framework?</w:t>
      </w:r>
    </w:p>
    <w:p w14:paraId="16740A38">
      <w:pPr>
        <w:pStyle w:val="style0"/>
        <w:spacing w:lineRule="auto" w:line="480"/>
        <w:jc w:val="both"/>
        <w:rPr>
          <w:rFonts w:ascii="Times New Roman" w:cs="Times New Roman" w:hAnsi="Times New Roman"/>
          <w:sz w:val="24"/>
          <w:szCs w:val="24"/>
        </w:rPr>
      </w:pPr>
    </w:p>
    <w:bookmarkStart w:id="14" w:name="_Toc233678219"/>
    <w:p w14:paraId="6F93D21A">
      <w:pPr>
        <w:pStyle w:val="style2"/>
        <w:rPr/>
      </w:pPr>
      <w:r>
        <w:t xml:space="preserve">1.4 </w:t>
      </w:r>
      <w:r>
        <w:tab/>
      </w:r>
      <w:r>
        <w:t>Aim and Objectives of the Research</w:t>
      </w:r>
      <w:bookmarkEnd w:id="14"/>
    </w:p>
    <w:p w14:paraId="42537B10">
      <w:pPr>
        <w:pStyle w:val="style0"/>
        <w:spacing w:lineRule="auto" w:line="480"/>
        <w:jc w:val="both"/>
        <w:rPr>
          <w:rFonts w:ascii="Times New Roman" w:cs="Times New Roman" w:hAnsi="Times New Roman"/>
          <w:b/>
          <w:bCs/>
          <w:sz w:val="24"/>
          <w:szCs w:val="24"/>
        </w:rPr>
      </w:pPr>
      <w:r>
        <w:rPr>
          <w:rFonts w:ascii="Times New Roman" w:cs="Times New Roman" w:hAnsi="Times New Roman"/>
          <w:b/>
          <w:bCs/>
          <w:sz w:val="24"/>
          <w:szCs w:val="24"/>
        </w:rPr>
        <w:t xml:space="preserve"> Aim  </w:t>
      </w:r>
    </w:p>
    <w:p w14:paraId="50C616C5">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T</w:t>
      </w:r>
      <w:r>
        <w:rPr>
          <w:rFonts w:ascii="Times New Roman" w:cs="Times New Roman" w:hAnsi="Times New Roman"/>
          <w:sz w:val="24"/>
          <w:szCs w:val="24"/>
        </w:rPr>
        <w:t>o assess how parentage is determined for children born via ART and surrogacy in Nigeria and recommend legal reforms to ensure clarity and coherence.</w:t>
      </w:r>
    </w:p>
    <w:p w14:paraId="6447CB23">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The research will seek to achieve the following objectives:</w:t>
      </w:r>
    </w:p>
    <w:p w14:paraId="0610F6F8">
      <w:pPr>
        <w:pStyle w:val="style4097"/>
        <w:numPr>
          <w:ilvl w:val="0"/>
          <w:numId w:val="2"/>
        </w:numPr>
        <w:spacing w:lineRule="auto" w:line="480"/>
        <w:jc w:val="both"/>
        <w:rPr>
          <w:rFonts w:ascii="Times New Roman" w:cs="Times New Roman" w:hAnsi="Times New Roman"/>
          <w:sz w:val="24"/>
          <w:szCs w:val="24"/>
        </w:rPr>
      </w:pPr>
      <w:r>
        <w:rPr>
          <w:rFonts w:ascii="Times New Roman" w:cs="Times New Roman" w:hAnsi="Times New Roman"/>
          <w:sz w:val="24"/>
          <w:szCs w:val="24"/>
        </w:rPr>
        <w:t>To examine</w:t>
      </w:r>
      <w:r>
        <w:rPr>
          <w:rFonts w:ascii="Times New Roman" w:cs="Times New Roman" w:hAnsi="Times New Roman"/>
          <w:sz w:val="24"/>
          <w:szCs w:val="24"/>
          <w:lang w:val="en-US"/>
        </w:rPr>
        <w:t xml:space="preserve"> how far Nigeria’s traditional common law assumptions on parentage align with or differ from parentage under ART and surrogacy.</w:t>
      </w:r>
    </w:p>
    <w:p w14:paraId="5D25279D">
      <w:pPr>
        <w:pStyle w:val="style0"/>
        <w:numPr>
          <w:ilvl w:val="0"/>
          <w:numId w:val="2"/>
        </w:numPr>
        <w:spacing w:lineRule="auto" w:line="480"/>
        <w:jc w:val="both"/>
        <w:rPr>
          <w:rFonts w:ascii="Times New Roman" w:cs="Times New Roman" w:hAnsi="Times New Roman"/>
          <w:sz w:val="24"/>
          <w:szCs w:val="24"/>
        </w:rPr>
      </w:pPr>
      <w:r>
        <w:rPr>
          <w:rFonts w:ascii="Times New Roman" w:cs="Times New Roman" w:hAnsi="Times New Roman"/>
          <w:sz w:val="24"/>
          <w:szCs w:val="24"/>
          <w:lang w:val="en-US"/>
        </w:rPr>
        <w:t>To examine the extent to which the absence of a specific legal framework on ART and surrogacy affects the recognition of intended parents, surrogate mothers and donors and the consequences for citizenship, inheritance, and recognition across borders.</w:t>
      </w:r>
    </w:p>
    <w:p w14:paraId="172330D3">
      <w:pPr>
        <w:pStyle w:val="style0"/>
        <w:numPr>
          <w:ilvl w:val="0"/>
          <w:numId w:val="2"/>
        </w:numPr>
        <w:spacing w:lineRule="auto" w:line="480"/>
        <w:jc w:val="both"/>
        <w:rPr>
          <w:rFonts w:ascii="Times New Roman" w:cs="Times New Roman" w:hAnsi="Times New Roman"/>
          <w:sz w:val="24"/>
          <w:szCs w:val="24"/>
        </w:rPr>
      </w:pPr>
      <w:r>
        <w:rPr>
          <w:rFonts w:ascii="Times New Roman" w:cs="Times New Roman" w:hAnsi="Times New Roman"/>
          <w:sz w:val="24"/>
          <w:szCs w:val="24"/>
          <w:lang w:val="en-US"/>
        </w:rPr>
        <w:t>To examine the doctrinal conflicts between intention-based parentage, reproductive autonomy, freedom of contract, and the child’s best interests in Nigeria.</w:t>
      </w:r>
    </w:p>
    <w:p w14:paraId="0BE853C8">
      <w:pPr>
        <w:pStyle w:val="style0"/>
        <w:numPr>
          <w:ilvl w:val="0"/>
          <w:numId w:val="2"/>
        </w:numPr>
        <w:spacing w:lineRule="auto" w:line="480"/>
        <w:jc w:val="both"/>
        <w:rPr>
          <w:rFonts w:ascii="Times New Roman" w:cs="Times New Roman" w:hAnsi="Times New Roman"/>
          <w:sz w:val="24"/>
          <w:szCs w:val="24"/>
        </w:rPr>
      </w:pPr>
      <w:r>
        <w:rPr>
          <w:rFonts w:ascii="Times New Roman" w:cs="Times New Roman" w:hAnsi="Times New Roman"/>
          <w:sz w:val="24"/>
          <w:szCs w:val="24"/>
          <w:lang w:val="en-US"/>
        </w:rPr>
        <w:t xml:space="preserve">To consider how other jurisdictions deal with parentage in ART and surrogacy </w:t>
      </w:r>
      <w:r>
        <w:rPr>
          <w:rFonts w:ascii="Times New Roman" w:cs="Times New Roman" w:hAnsi="Times New Roman"/>
          <w:sz w:val="24"/>
          <w:szCs w:val="24"/>
        </w:rPr>
        <w:t xml:space="preserve">and identify </w:t>
      </w:r>
      <w:r>
        <w:rPr>
          <w:rFonts w:ascii="Times New Roman" w:cs="Times New Roman" w:hAnsi="Times New Roman"/>
          <w:sz w:val="24"/>
          <w:szCs w:val="24"/>
          <w:lang w:val="en-US"/>
        </w:rPr>
        <w:t xml:space="preserve">relevant </w:t>
      </w:r>
      <w:r>
        <w:rPr>
          <w:rFonts w:ascii="Times New Roman" w:cs="Times New Roman" w:hAnsi="Times New Roman"/>
          <w:sz w:val="24"/>
          <w:szCs w:val="24"/>
        </w:rPr>
        <w:t xml:space="preserve">lessons </w:t>
      </w:r>
      <w:r>
        <w:rPr>
          <w:rFonts w:ascii="Times New Roman" w:cs="Times New Roman" w:hAnsi="Times New Roman"/>
          <w:sz w:val="24"/>
          <w:szCs w:val="24"/>
          <w:lang w:val="en-US"/>
        </w:rPr>
        <w:t>applicable in</w:t>
      </w:r>
      <w:r>
        <w:rPr>
          <w:rFonts w:ascii="Times New Roman" w:cs="Times New Roman" w:hAnsi="Times New Roman"/>
          <w:sz w:val="24"/>
          <w:szCs w:val="24"/>
        </w:rPr>
        <w:t xml:space="preserve"> Nigeria</w:t>
      </w:r>
      <w:r>
        <w:rPr>
          <w:rFonts w:ascii="Times New Roman" w:cs="Times New Roman" w:hAnsi="Times New Roman"/>
          <w:sz w:val="24"/>
          <w:szCs w:val="24"/>
          <w:lang w:val="en-US"/>
        </w:rPr>
        <w:t>.</w:t>
      </w:r>
    </w:p>
    <w:p w14:paraId="24CC3961">
      <w:pPr>
        <w:pStyle w:val="style0"/>
        <w:numPr>
          <w:ilvl w:val="0"/>
          <w:numId w:val="2"/>
        </w:numPr>
        <w:spacing w:lineRule="auto" w:line="480"/>
        <w:jc w:val="both"/>
        <w:rPr>
          <w:rFonts w:ascii="Times New Roman" w:cs="Times New Roman" w:hAnsi="Times New Roman"/>
          <w:b/>
          <w:sz w:val="24"/>
          <w:szCs w:val="24"/>
        </w:rPr>
      </w:pPr>
      <w:r>
        <w:rPr>
          <w:rFonts w:ascii="Times New Roman" w:cs="Times New Roman" w:hAnsi="Times New Roman"/>
          <w:sz w:val="24"/>
          <w:szCs w:val="24"/>
        </w:rPr>
        <w:t xml:space="preserve">To consider what rules and regulations could be formulated to deal with </w:t>
      </w:r>
      <w:r>
        <w:rPr>
          <w:rFonts w:ascii="Times New Roman" w:cs="Times New Roman" w:hAnsi="Times New Roman"/>
          <w:sz w:val="24"/>
          <w:szCs w:val="24"/>
          <w:lang w:val="en-US"/>
        </w:rPr>
        <w:t xml:space="preserve">issues about </w:t>
      </w:r>
      <w:r>
        <w:rPr>
          <w:rFonts w:ascii="Times New Roman" w:cs="Times New Roman" w:hAnsi="Times New Roman"/>
          <w:sz w:val="24"/>
          <w:szCs w:val="24"/>
        </w:rPr>
        <w:t>ART and surrogacy in Nigeria.</w:t>
      </w:r>
    </w:p>
    <w:bookmarkStart w:id="15" w:name="_Toc233678220"/>
    <w:p w14:paraId="480FE4D4">
      <w:pPr>
        <w:pStyle w:val="style2"/>
        <w:rPr/>
      </w:pPr>
      <w:r>
        <w:t xml:space="preserve">1.5 </w:t>
      </w:r>
      <w:r>
        <w:tab/>
      </w:r>
      <w:r>
        <w:t>Research Methodology</w:t>
      </w:r>
      <w:bookmarkEnd w:id="15"/>
    </w:p>
    <w:p w14:paraId="5BDFC01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This project adopts the doctrinal method of legal research.</w:t>
      </w:r>
      <w:r>
        <w:rPr>
          <w:rStyle w:val="style38"/>
          <w:rFonts w:ascii="Times New Roman" w:cs="Times New Roman" w:hAnsi="Times New Roman"/>
          <w:sz w:val="24"/>
          <w:szCs w:val="24"/>
        </w:rPr>
        <w:footnoteReference w:id="58"/>
      </w:r>
      <w:r>
        <w:rPr>
          <w:rFonts w:ascii="Times New Roman" w:cs="Times New Roman" w:hAnsi="Times New Roman"/>
          <w:sz w:val="24"/>
          <w:szCs w:val="24"/>
        </w:rPr>
        <w:t xml:space="preserve"> Doctrinal research is a library-based method concerned with the identification, examination, interpretation, and systematic analysis of legal rules, principles, concepts, and authorities relevant to a particular subject.</w:t>
      </w:r>
      <w:r>
        <w:rPr>
          <w:rStyle w:val="style38"/>
          <w:rFonts w:ascii="Times New Roman" w:cs="Times New Roman" w:hAnsi="Times New Roman"/>
          <w:sz w:val="24"/>
          <w:szCs w:val="24"/>
        </w:rPr>
        <w:footnoteReference w:id="59"/>
      </w:r>
      <w:r>
        <w:rPr>
          <w:rFonts w:ascii="Times New Roman" w:cs="Times New Roman" w:hAnsi="Times New Roman"/>
          <w:sz w:val="24"/>
          <w:szCs w:val="24"/>
        </w:rPr>
        <w:t xml:space="preserve"> It focuses on the law as contained in statutes, case law, judicial decisions, international instruments, as well as other authoritative legal materials. </w:t>
      </w:r>
      <w:r>
        <w:rPr>
          <w:rFonts w:ascii="Times New Roman" w:cs="Times New Roman" w:hAnsi="Times New Roman"/>
          <w:sz w:val="24"/>
          <w:szCs w:val="24"/>
          <w:lang w:val="en-US"/>
        </w:rPr>
        <w:t>Due to the lack of case law on surrogacy in Nigeria, the opinions of practitioners and civil society organizations will be used with caution for their persuasive value</w:t>
      </w:r>
      <w:r>
        <w:rPr>
          <w:rFonts w:ascii="Times New Roman" w:cs="Times New Roman" w:hAnsi="Times New Roman"/>
          <w:sz w:val="24"/>
          <w:szCs w:val="24"/>
        </w:rPr>
        <w:t xml:space="preserve">. This approach is appropriate for the current investigation as it examines the legal structure surrounding the parentage of children conceived via surrogacy and assisted reproductive technology. </w:t>
      </w:r>
    </w:p>
    <w:p w14:paraId="41AB14D7">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This project </w:t>
      </w:r>
      <w:r>
        <w:rPr>
          <w:rFonts w:ascii="Times New Roman" w:cs="Times New Roman" w:hAnsi="Times New Roman"/>
          <w:sz w:val="24"/>
          <w:szCs w:val="24"/>
          <w:lang w:val="en-US"/>
        </w:rPr>
        <w:t>relies</w:t>
      </w:r>
      <w:r>
        <w:rPr>
          <w:rFonts w:ascii="Times New Roman" w:cs="Times New Roman" w:hAnsi="Times New Roman"/>
          <w:sz w:val="24"/>
          <w:szCs w:val="24"/>
        </w:rPr>
        <w:t xml:space="preserve"> on primary sources and secondary sources of law.</w:t>
      </w:r>
      <w:r>
        <w:rPr>
          <w:rStyle w:val="style38"/>
          <w:rFonts w:ascii="Times New Roman" w:cs="Times New Roman" w:hAnsi="Times New Roman"/>
          <w:sz w:val="24"/>
          <w:szCs w:val="24"/>
        </w:rPr>
        <w:footnoteReference w:id="60"/>
      </w:r>
      <w:r>
        <w:rPr>
          <w:rFonts w:ascii="Times New Roman" w:cs="Times New Roman" w:hAnsi="Times New Roman"/>
          <w:sz w:val="24"/>
          <w:szCs w:val="24"/>
        </w:rPr>
        <w:t xml:space="preserve"> The primary sources include the </w:t>
      </w:r>
      <w:r>
        <w:rPr>
          <w:rFonts w:ascii="Times New Roman" w:cs="Times New Roman" w:hAnsi="Times New Roman"/>
          <w:i/>
          <w:iCs/>
          <w:sz w:val="24"/>
          <w:szCs w:val="24"/>
        </w:rPr>
        <w:t>Constitution of the Federal Republic of Nigeria 1999 (as amended)</w:t>
      </w:r>
      <w:r>
        <w:rPr>
          <w:rFonts w:ascii="Times New Roman" w:cs="Times New Roman" w:hAnsi="Times New Roman"/>
          <w:sz w:val="24"/>
          <w:szCs w:val="24"/>
        </w:rPr>
        <w:t xml:space="preserve">, </w:t>
      </w:r>
      <w:r>
        <w:rPr>
          <w:rFonts w:ascii="Times New Roman" w:cs="Times New Roman" w:hAnsi="Times New Roman"/>
          <w:i/>
          <w:iCs/>
          <w:sz w:val="24"/>
          <w:szCs w:val="24"/>
        </w:rPr>
        <w:t>the CRA 2003, the Evidence Act 2011, the National Health Act 2014, the Births, Deaths, etc. (Compulsory Registration) Act,</w:t>
      </w:r>
      <w:r>
        <w:rPr>
          <w:rFonts w:ascii="Times New Roman" w:cs="Times New Roman" w:hAnsi="Times New Roman"/>
          <w:sz w:val="24"/>
          <w:szCs w:val="24"/>
        </w:rPr>
        <w:t xml:space="preserve"> relevant rules of family lawand applicable judicial decisions from Nigerian and comparative jurisdictions. Relevant international and regional instruments which include Convention on the Rights of the Child, the African Charter on the Rights and Welfare of the Child and other human rights instruments shall also be examined. Secondary sources include textbooks, journal articles, legal commentaries, law reports, policy documents, and scholarly writings on surrogacy, ART, child rights, and family law. The research employs an analytical approach.</w:t>
      </w:r>
      <w:r>
        <w:rPr>
          <w:rStyle w:val="style38"/>
          <w:rFonts w:ascii="Times New Roman" w:cs="Times New Roman" w:hAnsi="Times New Roman"/>
          <w:sz w:val="24"/>
          <w:szCs w:val="24"/>
        </w:rPr>
        <w:footnoteReference w:id="61"/>
      </w:r>
      <w:r>
        <w:rPr>
          <w:rFonts w:ascii="Times New Roman" w:cs="Times New Roman" w:hAnsi="Times New Roman"/>
          <w:sz w:val="24"/>
          <w:szCs w:val="24"/>
        </w:rPr>
        <w:t xml:space="preserve"> It examines the legal and institutional framework on parentage in surrogacy and ART in Nigeria. Through this, the study identifies gaps as well as resolve uncertainties. Lastly, recommendations would be made for</w:t>
      </w:r>
      <w:r>
        <w:rPr>
          <w:rFonts w:ascii="Times New Roman" w:cs="Times New Roman" w:hAnsi="Times New Roman"/>
          <w:sz w:val="24"/>
          <w:szCs w:val="24"/>
          <w:lang w:val="en-US"/>
        </w:rPr>
        <w:t xml:space="preserve"> law,</w:t>
      </w:r>
      <w:r>
        <w:rPr>
          <w:rFonts w:ascii="Times New Roman" w:cs="Times New Roman" w:hAnsi="Times New Roman"/>
          <w:sz w:val="24"/>
          <w:szCs w:val="24"/>
        </w:rPr>
        <w:t xml:space="preserve"> policy and practice. </w:t>
      </w:r>
    </w:p>
    <w:p w14:paraId="55AF7C7D">
      <w:pPr>
        <w:pStyle w:val="style0"/>
        <w:spacing w:lineRule="auto" w:line="480"/>
        <w:jc w:val="both"/>
        <w:rPr>
          <w:rFonts w:ascii="Times New Roman" w:cs="Times New Roman" w:hAnsi="Times New Roman"/>
          <w:sz w:val="24"/>
          <w:szCs w:val="24"/>
        </w:rPr>
      </w:pPr>
    </w:p>
    <w:p w14:paraId="41FEBDA2">
      <w:pPr>
        <w:pStyle w:val="style0"/>
        <w:spacing w:lineRule="auto" w:line="480"/>
        <w:jc w:val="both"/>
        <w:rPr>
          <w:rFonts w:ascii="Times New Roman" w:cs="Times New Roman" w:hAnsi="Times New Roman"/>
          <w:sz w:val="24"/>
          <w:szCs w:val="24"/>
        </w:rPr>
      </w:pPr>
    </w:p>
    <w:bookmarkStart w:id="16" w:name="_Toc233678221"/>
    <w:p w14:paraId="5B19F105">
      <w:pPr>
        <w:pStyle w:val="style2"/>
        <w:rPr/>
      </w:pPr>
      <w:r>
        <w:t xml:space="preserve">1.6 </w:t>
      </w:r>
      <w:r>
        <w:tab/>
      </w:r>
      <w:r>
        <w:t>Scope and Limitation of the Study</w:t>
      </w:r>
      <w:bookmarkEnd w:id="16"/>
    </w:p>
    <w:p w14:paraId="40800606">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This project focuses on the parentage of children born through surrogacy and ART in Nigeria. Accordingly, the study examines the concepts of parenthood and parentage and the meaning and forms of ART and surrogacy. In addition, it examines the legal and institutional framework governing parentage in Nigeria, as well as the challenges in determining the status of children born through these arrangements. Substantively, the research covers the following issues. This include</w:t>
      </w:r>
      <w:r>
        <w:rPr>
          <w:rFonts w:ascii="Times New Roman" w:cs="Times New Roman" w:hAnsi="Times New Roman"/>
          <w:sz w:val="24"/>
          <w:szCs w:val="24"/>
          <w:lang w:val="en-US"/>
        </w:rPr>
        <w:t>s</w:t>
      </w:r>
      <w:r>
        <w:rPr>
          <w:rFonts w:ascii="Times New Roman" w:cs="Times New Roman" w:hAnsi="Times New Roman"/>
          <w:sz w:val="24"/>
          <w:szCs w:val="24"/>
        </w:rPr>
        <w:t xml:space="preserve"> presumptions of motherhood and fatherhood, the role of DNA and genetic evidence, birth registration, citizenship implications, maintenance rights, inheritance and succession rights, and the legal processes through which parentage may be established or contested. The study also considers the rights and welfare of the child. It also evaluates how adequate existing law addresses disputes involving intended parents, surrogate mothers, donors, as well as medical institutions. Where necessary, limited reference is made to international instruments and selected foreign jurisdictions for comparative insight and reform guidance.</w:t>
      </w:r>
    </w:p>
    <w:p w14:paraId="4661037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Nonetheless, the project has specific constraints. Initially, it is limited to a theoretical examination and does not include practical field research.</w:t>
      </w:r>
      <w:r>
        <w:rPr>
          <w:rStyle w:val="style38"/>
          <w:rFonts w:ascii="Times New Roman" w:cs="Times New Roman" w:hAnsi="Times New Roman"/>
          <w:sz w:val="24"/>
          <w:szCs w:val="24"/>
        </w:rPr>
        <w:footnoteReference w:id="62"/>
      </w:r>
      <w:r>
        <w:rPr>
          <w:rFonts w:ascii="Times New Roman" w:cs="Times New Roman" w:hAnsi="Times New Roman"/>
          <w:sz w:val="24"/>
          <w:szCs w:val="24"/>
        </w:rPr>
        <w:t xml:space="preserve"> Secondly, the study does not undertake a detailed medical or scientific examination of reproductive technologies except to the extent necessary for legal understanding. Finally, there are limited judicial authorities and legislation which addresses surrogacy and ART. This makes it necessary in some instances to rely on general legal principles, related statutes, as well as persuasive foreign authorities. Notwithstanding these limitations, the research remains adequate for a thorough legal analysis of the subject.</w:t>
      </w:r>
    </w:p>
    <w:p w14:paraId="58DA6CD3">
      <w:pPr>
        <w:pStyle w:val="style0"/>
        <w:spacing w:lineRule="auto" w:line="480"/>
        <w:jc w:val="both"/>
        <w:rPr>
          <w:rFonts w:ascii="Times New Roman" w:cs="Times New Roman" w:hAnsi="Times New Roman"/>
          <w:sz w:val="24"/>
          <w:szCs w:val="24"/>
        </w:rPr>
      </w:pPr>
    </w:p>
    <w:bookmarkStart w:id="17" w:name="_Toc233678222"/>
    <w:p w14:paraId="1BE41BCD">
      <w:pPr>
        <w:pStyle w:val="style2"/>
        <w:rPr/>
      </w:pPr>
      <w:r>
        <w:t xml:space="preserve">1.7 </w:t>
      </w:r>
      <w:r>
        <w:tab/>
      </w:r>
      <w:r>
        <w:t>Significance of the Study</w:t>
      </w:r>
      <w:bookmarkEnd w:id="17"/>
    </w:p>
    <w:p w14:paraId="1CD86F2C">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This project is significant academically and practically. </w:t>
      </w:r>
      <w:r>
        <w:rPr>
          <w:rFonts w:ascii="Times New Roman" w:cs="Times New Roman" w:hAnsi="Times New Roman"/>
          <w:sz w:val="24"/>
          <w:szCs w:val="24"/>
          <w:lang w:val="en-US"/>
        </w:rPr>
        <w:t xml:space="preserve">It examines an important and under-regulated area of Nigerian law that is  germane to people and institutions and the legal system as a whole. </w:t>
      </w:r>
      <w:r>
        <w:rPr>
          <w:rFonts w:ascii="Times New Roman" w:cs="Times New Roman" w:hAnsi="Times New Roman"/>
          <w:sz w:val="24"/>
          <w:szCs w:val="24"/>
        </w:rPr>
        <w:t xml:space="preserve">Academically, it adds to the expanding field of legal research on family law, child rights, and reproductive technology because it examines a subject that remains underdeveloped in the legal literature in Nigeria. </w:t>
      </w:r>
      <w:r>
        <w:rPr>
          <w:rFonts w:ascii="Times New Roman" w:cs="Times New Roman" w:hAnsi="Times New Roman"/>
          <w:sz w:val="24"/>
          <w:szCs w:val="24"/>
          <w:lang w:val="en-US"/>
        </w:rPr>
        <w:t>S</w:t>
      </w:r>
      <w:r>
        <w:rPr>
          <w:rFonts w:ascii="Times New Roman" w:cs="Times New Roman" w:hAnsi="Times New Roman"/>
          <w:sz w:val="24"/>
          <w:szCs w:val="24"/>
        </w:rPr>
        <w:t>urrogacy and ART are practised increasingly. However, the legal parentage of children born through such arrangements has not been addressed in a comprehensive manner.</w:t>
      </w:r>
      <w:r>
        <w:rPr>
          <w:rStyle w:val="style38"/>
          <w:rFonts w:ascii="Times New Roman" w:cs="Times New Roman" w:hAnsi="Times New Roman"/>
          <w:sz w:val="24"/>
          <w:szCs w:val="24"/>
        </w:rPr>
        <w:footnoteReference w:id="63"/>
      </w:r>
      <w:r>
        <w:rPr>
          <w:rFonts w:ascii="Times New Roman" w:cs="Times New Roman" w:hAnsi="Times New Roman"/>
          <w:sz w:val="24"/>
          <w:szCs w:val="24"/>
        </w:rPr>
        <w:t xml:space="preserve">Thus, this study clarifies the meaning of parentage in this context. </w:t>
      </w:r>
    </w:p>
    <w:p w14:paraId="49D51D9F">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project is also significant to lawmakers and policy makers. It identifies gaps and inadequacies in the regulations in Nigeria. Hence, it provides a basis for legislative and policy reform. Furthermore, the study is relevant to the legal field. For judges and legal practitioners, it analy</w:t>
      </w:r>
      <w:r>
        <w:rPr>
          <w:rFonts w:ascii="Times New Roman" w:cs="Times New Roman" w:hAnsi="Times New Roman"/>
          <w:sz w:val="24"/>
          <w:szCs w:val="24"/>
          <w:lang w:val="en-US"/>
        </w:rPr>
        <w:t>z</w:t>
      </w:r>
      <w:r>
        <w:rPr>
          <w:rFonts w:ascii="Times New Roman" w:cs="Times New Roman" w:hAnsi="Times New Roman"/>
          <w:sz w:val="24"/>
          <w:szCs w:val="24"/>
        </w:rPr>
        <w:t>es legal principles and statutes applicable to disputes on parentage arising from surrogacy and ART. For law students and researchers, it is a useful reference material on an emerging area of law. The study is also significant to children and families affected by surrogacy and ART. It focuses on legal status, identity, registration, maintenance, and inheritance. Hence, it shows that there is a need to protect the best interests of the child and to reduce the uncertainty faced by families created through modern reproductive methods. In this way, the study promotes legal certainty, justice, as well as child-centered protection in Nigeria.</w:t>
      </w:r>
    </w:p>
    <w:bookmarkStart w:id="18" w:name="_Toc233678223"/>
    <w:p w14:paraId="2B753192">
      <w:pPr>
        <w:pStyle w:val="style2"/>
        <w:rPr>
          <w:lang w:val="en-US"/>
        </w:rPr>
      </w:pPr>
      <w:r>
        <w:rPr>
          <w:lang w:val="en-US"/>
        </w:rPr>
        <w:t xml:space="preserve">1.8 </w:t>
      </w:r>
      <w:r>
        <w:rPr>
          <w:lang w:val="en-US"/>
        </w:rPr>
        <w:tab/>
      </w:r>
      <w:r>
        <w:rPr>
          <w:lang w:val="en-US"/>
        </w:rPr>
        <w:t>Literature Review</w:t>
      </w:r>
      <w:bookmarkEnd w:id="18"/>
    </w:p>
    <w:p w14:paraId="6AD96DB2">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 xml:space="preserve">Contemporary scholarship on surrogacy and ART has expanded considerably. Even so, much of it still concentrates on ethics, reproductive autonomy, medical practice, and comparative family law. This review assesses existing and identifies gaps in the literature which warrants the present study. For analytical clarity, the literature may be organized under four themes. </w:t>
      </w:r>
    </w:p>
    <w:p w14:paraId="154406E2">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Theme One: Regulatory and Conceptual Landscape of Surrogacy and ART</w:t>
      </w:r>
    </w:p>
    <w:p w14:paraId="3B1766DA">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Obadina</w:t>
      </w:r>
      <w:r>
        <w:rPr>
          <w:rStyle w:val="style38"/>
          <w:rFonts w:ascii="Times New Roman" w:cs="Times New Roman" w:eastAsia="Times New Roman" w:hAnsi="Times New Roman"/>
          <w:sz w:val="24"/>
          <w:szCs w:val="24"/>
          <w:lang w:val="en-US"/>
        </w:rPr>
        <w:footnoteReference w:id="64"/>
      </w:r>
      <w:r>
        <w:rPr>
          <w:rFonts w:ascii="Times New Roman" w:cs="Times New Roman" w:eastAsia="Times New Roman" w:hAnsi="Times New Roman"/>
          <w:sz w:val="24"/>
          <w:szCs w:val="24"/>
          <w:lang w:val="en-US"/>
        </w:rPr>
        <w:t xml:space="preserve"> examines the governance of surrogacy in Nigeria. He concentrated on how culture, religion, and geopolitics influence reproductive governance. Additionally, he addressed the importance of geopolitics in overseeing ART in Nigeria. He also identified loopholes in the existing legal framework. Methodologically, the article is doctrinal and analytical. Obadina found that the regulation of surrogacy is uncoordinated. He also found that kinship, blood lineage, religion, and the perceived cultural “unnaturalness” of surrogacy shape legal resistance in Nigeria. He further recommended that the regulation of surrogacy should be re-examined in the light of international norm development. A strength of this study is that it localized the surrogacy debate within the social realities in Nigeria. The study also identified regulatory gaps well. However, it does not fully develop how Nigerian courts should resolve conflicts between gestational, genetic, and intentional claims to parenthood. This is a limitation.  </w:t>
      </w:r>
    </w:p>
    <w:p w14:paraId="0DFE99CB">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On the other hand, Horsey</w:t>
      </w:r>
      <w:r>
        <w:rPr>
          <w:rStyle w:val="style38"/>
          <w:rFonts w:ascii="Times New Roman" w:cs="Times New Roman" w:eastAsia="Times New Roman" w:hAnsi="Times New Roman"/>
          <w:sz w:val="24"/>
          <w:szCs w:val="24"/>
          <w:lang w:val="en-US"/>
        </w:rPr>
        <w:footnoteReference w:id="65"/>
      </w:r>
      <w:r>
        <w:rPr>
          <w:rFonts w:ascii="Times New Roman" w:cs="Times New Roman" w:eastAsia="Times New Roman" w:hAnsi="Times New Roman"/>
          <w:sz w:val="24"/>
          <w:szCs w:val="24"/>
          <w:lang w:val="en-US"/>
        </w:rPr>
        <w:t xml:space="preserve"> reviewed current global trends in surrogacy and considered the future of surrogacy across jurisdictions. She assessed the regulatory future of surrogacy and she also considered the United Kingdom as a starting point. Methodologically, this is a review article and it relies on existing regulations. Horsey found that international harmonization of surrogacy law may be desirable. However, it is unlikely in practice. Consequently each state ought to oversee surrogacy in manners that ensure safety, uphold ethics, and safeguard the well-being of children, surrogates, intended parents, and families. This research is important because it shows that surrogacy persists whether states prohibit it or not. This means that legal silence is not an effective regulatory strategy. However, a limitation is that the article is inevitably broad. It surveys many jurisdictions. Hence, it does not focus on the implications of parentage in countries with weak institutional enforcement such as Nigeria. </w:t>
      </w:r>
    </w:p>
    <w:p w14:paraId="5BE3E61D">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Going further, Shenfield and others</w:t>
      </w:r>
      <w:r>
        <w:rPr>
          <w:rStyle w:val="style38"/>
          <w:rFonts w:ascii="Times New Roman" w:cs="Times New Roman" w:eastAsia="Times New Roman" w:hAnsi="Times New Roman"/>
          <w:sz w:val="24"/>
          <w:szCs w:val="24"/>
          <w:lang w:val="en-US"/>
        </w:rPr>
        <w:footnoteReference w:id="66"/>
      </w:r>
      <w:r>
        <w:rPr>
          <w:rFonts w:ascii="Times New Roman" w:cs="Times New Roman" w:eastAsia="Times New Roman" w:hAnsi="Times New Roman"/>
          <w:sz w:val="24"/>
          <w:szCs w:val="24"/>
          <w:lang w:val="en-US"/>
        </w:rPr>
        <w:t xml:space="preserve"> re-examined the moral and legal concerns associated with surrogacy. This research is based on normative principles and focuses on policy implications. It was determined that non-commercial surrogacy could be a viable option for assisted reproduction under certain circumstances, as long as measures are in place to ensure informed choices and to reduce risks for intended parents, surrogates, and the child. A strength of this study is that it balances competing interests. It does not take an absolutist position for or against surrogacy. More so, its recommendations are useful for legal policy because they  foreground child welfare.  However, a limitation is that this study does not address how municipal law should allocate parentage when ethics collide with presumptions rooted in childbirth or marriage. </w:t>
      </w:r>
    </w:p>
    <w:p w14:paraId="2A2BC142">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Theme Two: Legal Parentage and Recognition of Parenthood</w:t>
      </w:r>
    </w:p>
    <w:p w14:paraId="191A47B5">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Lima</w:t>
      </w:r>
      <w:r>
        <w:rPr>
          <w:rStyle w:val="style38"/>
          <w:rFonts w:ascii="Times New Roman" w:cs="Times New Roman" w:eastAsia="Times New Roman" w:hAnsi="Times New Roman"/>
          <w:sz w:val="24"/>
          <w:szCs w:val="24"/>
          <w:lang w:val="en-US"/>
        </w:rPr>
        <w:footnoteReference w:id="67"/>
      </w:r>
      <w:r>
        <w:rPr>
          <w:rFonts w:ascii="Times New Roman" w:cs="Times New Roman" w:eastAsia="Times New Roman" w:hAnsi="Times New Roman"/>
          <w:sz w:val="24"/>
          <w:szCs w:val="24"/>
          <w:lang w:val="en-US"/>
        </w:rPr>
        <w:t xml:space="preserve"> focused directly on legal parenthood in surrogacy under English law. She investigated the distribution of legal parenthood in surrogacy arrangements. This research is based on doctrinal methodology. It examines the legal foundation for determining parenthood. It does not make use of empirical data.  Lima contended that legal parenthood in surrogacy ought not to be defined solely by formal gestational criteria. Instead, more focus ought to be directed towards the surrogate's desire not to raise the child. The merit of this study lies in its examination of the legal interpretation of intention. This pertains to gestational surrogacy, in which the surrogate may lack any genetic connection and does not plan to take on parental duties. However, a limitation is that this study is rooted in English law. The debates therein are specific to that jurisdiction. It may not transfer to Nigeria, where regulations differ, and where intention is less recognized as a determinant of parentage. </w:t>
      </w:r>
    </w:p>
    <w:p w14:paraId="0E75C3D3">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Tesfaye</w:t>
      </w:r>
      <w:r>
        <w:rPr>
          <w:rStyle w:val="style38"/>
          <w:rFonts w:ascii="Times New Roman" w:cs="Times New Roman" w:eastAsia="Times New Roman" w:hAnsi="Times New Roman"/>
          <w:sz w:val="24"/>
          <w:szCs w:val="24"/>
          <w:lang w:val="en-US"/>
        </w:rPr>
        <w:footnoteReference w:id="68"/>
      </w:r>
      <w:r>
        <w:rPr>
          <w:rFonts w:ascii="Times New Roman" w:cs="Times New Roman" w:eastAsia="Times New Roman" w:hAnsi="Times New Roman"/>
          <w:sz w:val="24"/>
          <w:szCs w:val="24"/>
          <w:lang w:val="en-US"/>
        </w:rPr>
        <w:t xml:space="preserve"> examined the rejection by certain home states to acknowledge legal parenthood formed via international commercial surrogacy. She questioned the perspective that lacking a genetic link is enough reason to refuse acknowledgement of legal parenthood. This research adopts a doctrinal approach grounded in human rights principles. It depends on the legal precedents set by the European Court of Human Rights and the overarching principles concerning the welfare of the child. The article concludes that refusing recognition due to a child's absence of genetic connections to their intended parents unfairly disadvantages certain surrogate-born children, primarily due to the conditions surrounding their birth. This work is useful because it re-centers the child rather than the moral discomfort of the state. It shows that legal systems often punish children for the manner of their conception and birth. It focuses on non-discrimination and best interests and this makes it persuasive for Nigeria. Nonetheless, a limitation is that the work is framed within the Council of Europe system. Hence, it may not be directly applicable to Nigeria. Even so, its normative insight remains powerful. Legal parentage rules should not create a class of children with uncertain status merely because they were born through surrogacy.</w:t>
      </w:r>
    </w:p>
    <w:p w14:paraId="121D782E">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Similarly, Tryfonidou</w:t>
      </w:r>
      <w:r>
        <w:rPr>
          <w:rStyle w:val="style38"/>
          <w:rFonts w:ascii="Times New Roman" w:cs="Times New Roman" w:eastAsia="Times New Roman" w:hAnsi="Times New Roman"/>
          <w:sz w:val="24"/>
          <w:szCs w:val="24"/>
          <w:lang w:val="en-US"/>
        </w:rPr>
        <w:footnoteReference w:id="69"/>
      </w:r>
      <w:r>
        <w:rPr>
          <w:rFonts w:ascii="Times New Roman" w:cs="Times New Roman" w:eastAsia="Times New Roman" w:hAnsi="Times New Roman"/>
          <w:sz w:val="24"/>
          <w:szCs w:val="24"/>
          <w:lang w:val="en-US"/>
        </w:rPr>
        <w:t xml:space="preserve"> analyses the acknowledgement of parenthood across borders in accordance with European legislation. She considered how European law has responded to the problems which arise from recognizing parenthood in transnational settings and they also assessed future prospects. Methodologically, this study is doctrinal and comparative. It is based on European legal instruments and case law. She concluded that there is no comprehensive solution to recognizing  parenthood across borders under European law currently. This work is relevant because it demonstrates that even well-developed legal systems still struggle to ensure continuity of legal parentage when a child crosses jurisdictions. That is important for Nigeria, where international surrogacy may raise issues of citizenship, travel documents, and registration. However, a limitation is that study focuses on Europe. Hence, it may not be directly applicable to Nigeria, it serves as a useful guide for shaping Nigeria's surrogacy laws, especially concerning the legal standing and lineage of children conceived via international surrogacy agreements, and could aid in the formulation of laws that sufficiently safeguard these children's lineage on both national and global scales.</w:t>
      </w:r>
    </w:p>
    <w:p w14:paraId="3C109707">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Theme Three: Rights and Welfare of Children Born through Surrogacy and ART</w:t>
      </w:r>
    </w:p>
    <w:p w14:paraId="4B71CF9C">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O’Callaghan</w:t>
      </w:r>
      <w:r>
        <w:rPr>
          <w:rStyle w:val="style38"/>
          <w:rFonts w:ascii="Times New Roman" w:cs="Times New Roman" w:eastAsia="Times New Roman" w:hAnsi="Times New Roman"/>
          <w:sz w:val="24"/>
          <w:szCs w:val="24"/>
          <w:lang w:val="en-US"/>
        </w:rPr>
        <w:footnoteReference w:id="70"/>
      </w:r>
      <w:r>
        <w:rPr>
          <w:rFonts w:ascii="Times New Roman" w:cs="Times New Roman" w:eastAsia="Times New Roman" w:hAnsi="Times New Roman"/>
          <w:sz w:val="24"/>
          <w:szCs w:val="24"/>
          <w:lang w:val="en-US"/>
        </w:rPr>
        <w:t xml:space="preserve"> the entitlements of children born through surrogacy to obtain details regarding their background. She reflected on how much children conceived via surrogacy ought to independently obtain details regarding their origins and the appropriate age for this access. Methodologically, the article is doctrinal and rights-based. It examined international children’s rights law, national registers, and legislative reform proposals in the United Kingdom and Ireland. O’Callaghan suggested that restricting the access of children to identifying information until age eighteen should be reconsidered and that a children’s rights approach requires earlier and more meaningful access. The merit of this research lies in its shift of focus from the reproductive rights of adults to the identity concerns of the child. It shows that the details regarding origin are not merely an emotional extra. Instead, it constitutes an element of the child's legal identity. This is relevant to the present study because parentage is not merely about custody or status. It also determines the legal narrative of origin of a child. A limitation, however, is that the article focuses on access to information, not broader incidents of parentage.</w:t>
      </w:r>
      <w:r>
        <w:rPr>
          <w:rStyle w:val="style38"/>
          <w:rFonts w:ascii="Times New Roman" w:cs="Times New Roman" w:eastAsia="Times New Roman" w:hAnsi="Times New Roman"/>
          <w:sz w:val="24"/>
          <w:szCs w:val="24"/>
          <w:lang w:val="en-US"/>
        </w:rPr>
        <w:footnoteReference w:id="71"/>
      </w:r>
    </w:p>
    <w:p w14:paraId="1A00C7C4">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On the other hand, Margaria</w:t>
      </w:r>
      <w:r>
        <w:rPr>
          <w:rStyle w:val="style38"/>
          <w:rFonts w:ascii="Times New Roman" w:cs="Times New Roman" w:eastAsia="Times New Roman" w:hAnsi="Times New Roman"/>
          <w:sz w:val="24"/>
          <w:szCs w:val="24"/>
          <w:lang w:val="en-US"/>
        </w:rPr>
        <w:footnoteReference w:id="72"/>
      </w:r>
      <w:r>
        <w:rPr>
          <w:rFonts w:ascii="Times New Roman" w:cs="Times New Roman" w:eastAsia="Times New Roman" w:hAnsi="Times New Roman"/>
          <w:sz w:val="24"/>
          <w:szCs w:val="24"/>
          <w:lang w:val="en-US"/>
        </w:rPr>
        <w:t xml:space="preserve"> examined the normative dimension of birth registration in the context of surrogacy. She showed how the practices of birth registration are intertwined with traditional notions of care and motherhood. Methodologically, the study is doctrinal and a socio-legal analysis of registration practices. She found that birth registration is not merely administrative or factual. Rather, it tends to reproduce the assumption that care and motherhood flow from gestation and birth naturally. This work is relevant because birth registration is one of the first legal incidents of parentage. However, a limitation is that the study does not set out detailed solutions for countries with weak or fragmented civil registration systems.  Even so, it exposes how bureaucratic procedures entrench outdated assumptions about motherhood. </w:t>
      </w:r>
    </w:p>
    <w:p w14:paraId="4CBBCEF2">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On the other hand, Ezenwa and others</w:t>
      </w:r>
      <w:r>
        <w:rPr>
          <w:rStyle w:val="style38"/>
          <w:rFonts w:ascii="Times New Roman" w:cs="Times New Roman" w:eastAsia="Times New Roman" w:hAnsi="Times New Roman"/>
          <w:sz w:val="24"/>
          <w:szCs w:val="24"/>
          <w:lang w:val="en-US"/>
        </w:rPr>
        <w:footnoteReference w:id="73"/>
      </w:r>
      <w:r>
        <w:rPr>
          <w:rFonts w:ascii="Times New Roman" w:cs="Times New Roman" w:eastAsia="Times New Roman" w:hAnsi="Times New Roman"/>
          <w:sz w:val="24"/>
          <w:szCs w:val="24"/>
          <w:lang w:val="en-US"/>
        </w:rPr>
        <w:t xml:space="preserve"> discussed a case study regarding the increasing prevalence of surrogacy and its effects on the care of newborns in Nigeria. They highlighted the challenges encountered in managing babies born through gestational surrogacy. In addition, they also created awareness and guidance for practitioners. Methodologically, this report presents a case involving three sets of preterm triplets who were conceived via IVF and gestational surrogacy. Ezenwa and others</w:t>
      </w:r>
      <w:r>
        <w:rPr>
          <w:rStyle w:val="style38"/>
          <w:rFonts w:ascii="Times New Roman" w:cs="Times New Roman" w:eastAsia="Times New Roman" w:hAnsi="Times New Roman"/>
          <w:sz w:val="24"/>
          <w:szCs w:val="24"/>
          <w:lang w:val="en-US"/>
        </w:rPr>
        <w:footnoteReference w:id="74"/>
      </w:r>
      <w:r>
        <w:rPr>
          <w:rFonts w:ascii="Times New Roman" w:cs="Times New Roman" w:eastAsia="Times New Roman" w:hAnsi="Times New Roman"/>
          <w:sz w:val="24"/>
          <w:szCs w:val="24"/>
          <w:lang w:val="en-US"/>
        </w:rPr>
        <w:t xml:space="preserve"> noted that there exist challenges. This encompasses the postponement in securing approval for treatment, neglect in providing care, and challenges in ascertaining the child's legal status, including the process of altering the child's name from that of the surrogate to that of the commissioning parents. They determined that Nigeria requires an appropriate legal structure for surrogacy and assisted reproductive methods. The strength of this study is that it focuses on Nigeria. It shows that ambiguity in laws affects not only courts as well as hospitals, welfare departments, and everyday decisions about treatment and identity.  The limitation is obvious. A case report based on three clinical cases cannot provide a comprehensive legal theory of parentage. Even so, it reveals how urgently a legal framework is needed in practice.</w:t>
      </w:r>
    </w:p>
    <w:p w14:paraId="6B380FA5">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Theme Four: Practical Challenges, Access, and Reform</w:t>
      </w:r>
    </w:p>
    <w:p w14:paraId="42CC107C">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Kneebone and others</w:t>
      </w:r>
      <w:r>
        <w:rPr>
          <w:rStyle w:val="style38"/>
          <w:rFonts w:ascii="Times New Roman" w:cs="Times New Roman" w:eastAsia="Times New Roman" w:hAnsi="Times New Roman"/>
          <w:sz w:val="24"/>
          <w:szCs w:val="24"/>
          <w:lang w:val="en-US"/>
        </w:rPr>
        <w:footnoteReference w:id="75"/>
      </w:r>
      <w:r>
        <w:rPr>
          <w:rFonts w:ascii="Times New Roman" w:cs="Times New Roman" w:eastAsia="Times New Roman" w:hAnsi="Times New Roman"/>
          <w:sz w:val="24"/>
          <w:szCs w:val="24"/>
          <w:lang w:val="en-US"/>
        </w:rPr>
        <w:t xml:space="preserve"> explored viewpoints on enhancing availability of surrogacy in Australia. They outlined how surrogates, intended parents, parents via surrogacy, and professionals think that access to arrangements might be enhanced. The approach is qualitative. Participants underwent interviews, and the transcripts from these interviews were examined thematically. Kneebone and others suggested that public awareness should be improved and that policies for health care practitioners should be developed. In addition, agencies should establish and the law must also be reformed. This research is significant as it demonstrates that legal changes are inadequate without backing from institutions and public understanding. However, a limitation is that the study has a limited sample size and national specificity. Even so, its findings suggest that the problems of parentage in surrogacy are embedded in a broader ecosystem of clinics, agencies, professionals, and public knowledge.</w:t>
      </w:r>
    </w:p>
    <w:p w14:paraId="3043AC2D">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Akangah and others</w:t>
      </w:r>
      <w:r>
        <w:rPr>
          <w:rStyle w:val="style38"/>
          <w:rFonts w:ascii="Times New Roman" w:cs="Times New Roman" w:eastAsia="Times New Roman" w:hAnsi="Times New Roman"/>
          <w:sz w:val="24"/>
          <w:szCs w:val="24"/>
          <w:lang w:val="en-US"/>
        </w:rPr>
        <w:footnoteReference w:id="76"/>
      </w:r>
      <w:r>
        <w:rPr>
          <w:rFonts w:ascii="Times New Roman" w:cs="Times New Roman" w:eastAsia="Times New Roman" w:hAnsi="Times New Roman"/>
          <w:sz w:val="24"/>
          <w:szCs w:val="24"/>
          <w:lang w:val="en-US"/>
        </w:rPr>
        <w:t xml:space="preserve"> examined the social, ethical, and legal aspects of surrogacy in Ghana. They examined those issues in a context where the practice is emerging and under-studied. Methodologically, this is a phenomenological qualitative research. They found that many participants who enter surrogacy arrangements were unaware of the relevant birth-registration law and this exposes them to exploitation, mistreatment as well as abuse. this study is relevant because it focuses on an African setting. This makes it more comparable to Nigeria than European literature. In addition, it highlights how legal ignorance and social stigma intensify vulnerability. However, a limitation is that it did not include all stakeholder categories and it was confined to only two facilities. This constrains generalization. Still, it offers an important warning for Nigeria. Legal uncertainty is magnified when people do not even know the little law that exists. </w:t>
      </w:r>
    </w:p>
    <w:p w14:paraId="70B4141A">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On the other hand, Marinelli and others</w:t>
      </w:r>
      <w:r>
        <w:rPr>
          <w:rStyle w:val="style38"/>
          <w:rFonts w:ascii="Times New Roman" w:cs="Times New Roman" w:eastAsia="Times New Roman" w:hAnsi="Times New Roman"/>
          <w:sz w:val="24"/>
          <w:szCs w:val="24"/>
          <w:lang w:val="en-US"/>
        </w:rPr>
        <w:footnoteReference w:id="77"/>
      </w:r>
      <w:r>
        <w:rPr>
          <w:rFonts w:ascii="Times New Roman" w:cs="Times New Roman" w:eastAsia="Times New Roman" w:hAnsi="Times New Roman"/>
          <w:sz w:val="24"/>
          <w:szCs w:val="24"/>
          <w:lang w:val="en-US"/>
        </w:rPr>
        <w:t xml:space="preserve"> examined international surrogacy and existing legal obstacles. They shed light on the intricate legal and ethical challenges of international surrogacy and evaluated the existing patterns and potential developments. The approach is centred on reviews and doctrinal analysis. They examined legal precedents, encompassing decisions from the Italian Supreme Court and the European Court of Human Rights. It was discovered that ambiguous standards and poorly defined judicial decisions could negatively impact the rights of children, surrogate mothers, and intended parents. Furthermore, the welfare of children conceived via surrogacy in foreign countries necessitates robust legal safeguards. The strength of this work is that it demonstrates that cross-border surrogacy magnifies the problem of parentage because it introduces multiple competing legal systems. This is relevant to Nigeria where outbound or inbound fertility travel may occur. However, a limitation is that the analysis in this study is shaped by European case law and contemporary Italian debates. Hence, it may not be transferable in Nigeria.</w:t>
      </w:r>
    </w:p>
    <w:p w14:paraId="225DD30D">
      <w:pPr>
        <w:pStyle w:val="style0"/>
        <w:spacing w:lineRule="auto" w:line="480"/>
        <w:jc w:val="both"/>
        <w:rPr>
          <w:rFonts w:ascii="Times New Roman" w:cs="Times New Roman" w:eastAsia="Times New Roman" w:hAnsi="Times New Roman"/>
          <w:sz w:val="24"/>
          <w:szCs w:val="24"/>
          <w:lang w:val="en-US"/>
        </w:rPr>
      </w:pPr>
    </w:p>
    <w:p w14:paraId="1DC8C21C">
      <w:pPr>
        <w:pStyle w:val="style0"/>
        <w:spacing w:lineRule="auto" w:line="480"/>
        <w:jc w:val="both"/>
        <w:rPr>
          <w:rFonts w:ascii="Times New Roman" w:cs="Times New Roman" w:eastAsia="Times New Roman" w:hAnsi="Times New Roman"/>
          <w:sz w:val="24"/>
          <w:szCs w:val="24"/>
          <w:lang w:val="en-US"/>
        </w:rPr>
      </w:pPr>
    </w:p>
    <w:p w14:paraId="21D1D3E5">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Gap in Knowledge</w:t>
      </w:r>
    </w:p>
    <w:p w14:paraId="6DB97D5D">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Overall, this review presents four important findings. Firstly, scholars  accept that surrogacy and ART are no longer peripheral reproductive practices and therefore they require legal regulation. Secondly, existing scholarship identifies uncertainty over legal parenthood where gestation, genetics, and intention do not coincide. Thirdly, recent studies pointed out that a child has rights to identity, registration, and legal continuity. Fourthly, studies from Nigeria and comparable African contexts show that gaps in regulation already produce difficulties in hospitals, registration systems as well as family arrangements.</w:t>
      </w:r>
      <w:r>
        <w:rPr>
          <w:rStyle w:val="style38"/>
          <w:rFonts w:ascii="Times New Roman" w:cs="Times New Roman" w:eastAsia="Times New Roman" w:hAnsi="Times New Roman"/>
          <w:sz w:val="24"/>
          <w:szCs w:val="24"/>
          <w:lang w:val="en-US"/>
        </w:rPr>
        <w:footnoteReference w:id="78"/>
      </w:r>
    </w:p>
    <w:p w14:paraId="34C0D1BF">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 xml:space="preserve">However, a gap remains. Much of the recent literature is either </w:t>
      </w:r>
      <w:r>
        <w:rPr>
          <w:rFonts w:ascii="Times New Roman" w:cs="Times New Roman" w:eastAsia="Times New Roman" w:hAnsi="Times New Roman"/>
          <w:bCs/>
          <w:sz w:val="24"/>
          <w:szCs w:val="24"/>
          <w:lang w:val="en-US"/>
        </w:rPr>
        <w:t>comparative, ethical, medical, or broadly regulatory</w:t>
      </w:r>
      <w:r>
        <w:rPr>
          <w:rFonts w:ascii="Times New Roman" w:cs="Times New Roman" w:eastAsia="Times New Roman" w:hAnsi="Times New Roman"/>
          <w:sz w:val="24"/>
          <w:szCs w:val="24"/>
          <w:lang w:val="en-US"/>
        </w:rPr>
        <w:t xml:space="preserve">. There is no </w:t>
      </w:r>
      <w:r>
        <w:rPr>
          <w:rFonts w:ascii="Times New Roman" w:cs="Times New Roman" w:eastAsia="Times New Roman" w:hAnsi="Times New Roman"/>
          <w:bCs/>
          <w:sz w:val="24"/>
          <w:szCs w:val="24"/>
          <w:lang w:val="en-US"/>
        </w:rPr>
        <w:t>focused doctrinal analysis of parentage under the law</w:t>
      </w:r>
      <w:r>
        <w:rPr>
          <w:rFonts w:ascii="Times New Roman" w:cs="Times New Roman" w:eastAsia="Times New Roman" w:hAnsi="Times New Roman"/>
          <w:sz w:val="24"/>
          <w:szCs w:val="24"/>
          <w:lang w:val="en-US"/>
        </w:rPr>
        <w:t xml:space="preserve"> in Nigeria as it applies specifically to children born through surrogacy and other ART procedures. Even Nigerian scholarship that identifies the regulatory vacuum often stops short of analyzing the legal incidents of parentage, the evidential role of DNA, the interaction between birth registration and parentage presumptions, and the implications for maintenance, inheritance, citizenship, and remedies. Accordingly, there is still insufficient scholarship that brings together municipal law in Nigeria, relevant international child-rights norms, and practical parentage disputes into a single coherent legal analysis. It is this gap that warrants the present study.</w:t>
      </w:r>
      <w:r>
        <w:rPr>
          <w:rStyle w:val="style38"/>
          <w:rFonts w:ascii="Times New Roman" w:cs="Times New Roman" w:eastAsia="Times New Roman" w:hAnsi="Times New Roman"/>
          <w:sz w:val="24"/>
          <w:szCs w:val="24"/>
          <w:lang w:val="en-US"/>
        </w:rPr>
        <w:footnoteReference w:id="79"/>
      </w:r>
      <w:r>
        <w:rPr>
          <w:rFonts w:ascii="Times New Roman" w:cs="Times New Roman" w:eastAsia="Times New Roman" w:hAnsi="Times New Roman"/>
          <w:sz w:val="24"/>
          <w:szCs w:val="24"/>
          <w:lang w:val="en-US"/>
        </w:rPr>
        <w:t xml:space="preserve"> The current study aims to address that void. It explores the legal implications and occurrences of parenthood in surrogacy and ART. It assesses the sufficiency of legal and institutional structures in Nigeria. Furthermore, it highlights the difficulties encountered in establishing the status of children conceived through these agreements.  </w:t>
      </w:r>
    </w:p>
    <w:p w14:paraId="396CE5DC">
      <w:pPr>
        <w:pStyle w:val="style0"/>
        <w:spacing w:lineRule="auto" w:line="480"/>
        <w:jc w:val="both"/>
        <w:rPr>
          <w:rFonts w:ascii="Times New Roman" w:cs="Times New Roman" w:eastAsia="Times New Roman" w:hAnsi="Times New Roman"/>
          <w:sz w:val="24"/>
          <w:szCs w:val="24"/>
          <w:lang w:val="en-US"/>
        </w:rPr>
      </w:pPr>
    </w:p>
    <w:bookmarkStart w:id="19" w:name="_Toc233678224"/>
    <w:p w14:paraId="1BAD5C8F">
      <w:pPr>
        <w:pStyle w:val="style1"/>
        <w:rPr/>
      </w:pPr>
      <w:r>
        <w:t>CHAPTER TWO</w:t>
      </w:r>
      <w:bookmarkEnd w:id="19"/>
    </w:p>
    <w:bookmarkStart w:id="20" w:name="_Toc233678225"/>
    <w:p w14:paraId="4A48F92F">
      <w:pPr>
        <w:pStyle w:val="style1"/>
        <w:rPr/>
      </w:pPr>
      <w:r>
        <w:t>CONCEPTUAL AND THEORETICAL FRAMEWORK</w:t>
      </w:r>
      <w:bookmarkEnd w:id="20"/>
    </w:p>
    <w:bookmarkStart w:id="21" w:name="_Toc233678226"/>
    <w:p w14:paraId="64EBBA54">
      <w:pPr>
        <w:pStyle w:val="style2"/>
        <w:rPr/>
      </w:pPr>
      <w:r>
        <w:rPr>
          <w:bCs/>
        </w:rPr>
        <w:t xml:space="preserve">2.1   </w:t>
      </w:r>
      <w:r>
        <w:t>Concept of Parenthood and Parentage</w:t>
      </w:r>
      <w:bookmarkEnd w:id="21"/>
    </w:p>
    <w:p w14:paraId="0559329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Parenthood and parentage are related but not identical concepts.</w:t>
      </w:r>
      <w:r>
        <w:rPr>
          <w:rStyle w:val="style38"/>
          <w:rFonts w:ascii="Times New Roman" w:cs="Times New Roman" w:hAnsi="Times New Roman"/>
          <w:sz w:val="24"/>
          <w:szCs w:val="24"/>
        </w:rPr>
        <w:footnoteReference w:id="80"/>
      </w:r>
      <w:r>
        <w:rPr>
          <w:rFonts w:ascii="Times New Roman" w:cs="Times New Roman" w:hAnsi="Times New Roman"/>
          <w:sz w:val="24"/>
          <w:szCs w:val="24"/>
        </w:rPr>
        <w:t xml:space="preserve"> In ordinary language, parenthood often refers to the social, biological, moral and emotional relationship between an adult and a child.</w:t>
      </w:r>
      <w:r>
        <w:rPr>
          <w:rStyle w:val="style38"/>
          <w:rFonts w:ascii="Times New Roman" w:cs="Times New Roman" w:hAnsi="Times New Roman"/>
          <w:sz w:val="24"/>
          <w:szCs w:val="24"/>
        </w:rPr>
        <w:footnoteReference w:id="81"/>
      </w:r>
      <w:r>
        <w:rPr>
          <w:rFonts w:ascii="Times New Roman" w:cs="Times New Roman" w:hAnsi="Times New Roman"/>
          <w:sz w:val="24"/>
          <w:szCs w:val="24"/>
        </w:rPr>
        <w:t xml:space="preserve"> Conversely, parentage refers to the legal designation that determines who is recognised as a child's parent in relation to rights, obligations, accountability, and acknowledgement.</w:t>
      </w:r>
      <w:r>
        <w:rPr>
          <w:rStyle w:val="style38"/>
          <w:rFonts w:ascii="Times New Roman" w:cs="Times New Roman" w:hAnsi="Times New Roman"/>
          <w:sz w:val="24"/>
          <w:szCs w:val="24"/>
        </w:rPr>
        <w:footnoteReference w:id="82"/>
      </w:r>
      <w:r>
        <w:rPr>
          <w:rFonts w:ascii="Times New Roman" w:cs="Times New Roman" w:hAnsi="Times New Roman"/>
          <w:sz w:val="24"/>
          <w:szCs w:val="24"/>
        </w:rPr>
        <w:t xml:space="preserve"> In traditional family law, these two ideas usually overlapped.</w:t>
      </w:r>
      <w:r>
        <w:rPr>
          <w:rStyle w:val="style38"/>
          <w:rFonts w:ascii="Times New Roman" w:cs="Times New Roman" w:hAnsi="Times New Roman"/>
          <w:sz w:val="24"/>
          <w:szCs w:val="24"/>
        </w:rPr>
        <w:footnoteReference w:id="83"/>
      </w:r>
      <w:r>
        <w:rPr>
          <w:rFonts w:ascii="Times New Roman" w:cs="Times New Roman" w:hAnsi="Times New Roman"/>
          <w:sz w:val="24"/>
          <w:szCs w:val="24"/>
        </w:rPr>
        <w:t xml:space="preserve"> The person who delivered the child was assumed to be the parent.</w:t>
      </w:r>
      <w:r>
        <w:rPr>
          <w:rStyle w:val="style38"/>
          <w:rFonts w:ascii="Times New Roman" w:cs="Times New Roman" w:hAnsi="Times New Roman"/>
          <w:sz w:val="24"/>
          <w:szCs w:val="24"/>
        </w:rPr>
        <w:footnoteReference w:id="84"/>
      </w:r>
      <w:r>
        <w:rPr>
          <w:rFonts w:ascii="Times New Roman" w:cs="Times New Roman" w:hAnsi="Times New Roman"/>
          <w:sz w:val="24"/>
          <w:szCs w:val="24"/>
        </w:rPr>
        <w:t xml:space="preserve"> The husband of a married woman was presumed to be the father.</w:t>
      </w:r>
      <w:r>
        <w:rPr>
          <w:rStyle w:val="style38"/>
          <w:rFonts w:ascii="Times New Roman" w:cs="Times New Roman" w:hAnsi="Times New Roman"/>
          <w:sz w:val="24"/>
          <w:szCs w:val="24"/>
        </w:rPr>
        <w:footnoteReference w:id="85"/>
      </w:r>
      <w:r>
        <w:rPr>
          <w:rFonts w:ascii="Times New Roman" w:cs="Times New Roman" w:hAnsi="Times New Roman"/>
          <w:sz w:val="24"/>
          <w:szCs w:val="24"/>
        </w:rPr>
        <w:t xml:space="preserve"> Then, legal consequences followed in relation to custody, maintenance, inheritance, and legitimacy.</w:t>
      </w:r>
      <w:r>
        <w:rPr>
          <w:rStyle w:val="style38"/>
          <w:rFonts w:ascii="Times New Roman" w:cs="Times New Roman" w:hAnsi="Times New Roman"/>
          <w:sz w:val="24"/>
          <w:szCs w:val="24"/>
        </w:rPr>
        <w:footnoteReference w:id="86"/>
      </w:r>
      <w:r>
        <w:rPr>
          <w:rFonts w:ascii="Times New Roman" w:cs="Times New Roman" w:hAnsi="Times New Roman"/>
          <w:sz w:val="24"/>
          <w:szCs w:val="24"/>
        </w:rPr>
        <w:t xml:space="preserve"> However, reproductive technologies have fractured this unity.</w:t>
      </w:r>
      <w:r>
        <w:rPr>
          <w:rStyle w:val="style38"/>
          <w:rFonts w:ascii="Times New Roman" w:cs="Times New Roman" w:hAnsi="Times New Roman"/>
          <w:sz w:val="24"/>
          <w:szCs w:val="24"/>
        </w:rPr>
        <w:footnoteReference w:id="87"/>
      </w:r>
      <w:r>
        <w:rPr>
          <w:rFonts w:ascii="Times New Roman" w:cs="Times New Roman" w:hAnsi="Times New Roman"/>
          <w:sz w:val="24"/>
          <w:szCs w:val="24"/>
        </w:rPr>
        <w:t xml:space="preserve"> A child may now have a genetic mother,</w:t>
      </w:r>
      <w:r>
        <w:rPr>
          <w:rStyle w:val="style38"/>
          <w:rFonts w:ascii="Times New Roman" w:cs="Times New Roman" w:hAnsi="Times New Roman"/>
          <w:sz w:val="24"/>
          <w:szCs w:val="24"/>
        </w:rPr>
        <w:footnoteReference w:id="88"/>
      </w:r>
      <w:r>
        <w:rPr>
          <w:rFonts w:ascii="Times New Roman" w:cs="Times New Roman" w:hAnsi="Times New Roman"/>
          <w:sz w:val="24"/>
          <w:szCs w:val="24"/>
        </w:rPr>
        <w:t xml:space="preserve"> a gestational mother,</w:t>
      </w:r>
      <w:r>
        <w:rPr>
          <w:rStyle w:val="style38"/>
          <w:rFonts w:ascii="Times New Roman" w:cs="Times New Roman" w:hAnsi="Times New Roman"/>
          <w:sz w:val="24"/>
          <w:szCs w:val="24"/>
        </w:rPr>
        <w:footnoteReference w:id="89"/>
      </w:r>
      <w:r>
        <w:rPr>
          <w:rFonts w:ascii="Times New Roman" w:cs="Times New Roman" w:hAnsi="Times New Roman"/>
          <w:sz w:val="24"/>
          <w:szCs w:val="24"/>
        </w:rPr>
        <w:t xml:space="preserve"> anintending social mother</w:t>
      </w:r>
      <w:r>
        <w:rPr>
          <w:rStyle w:val="style38"/>
          <w:rFonts w:ascii="Times New Roman" w:cs="Times New Roman" w:hAnsi="Times New Roman"/>
          <w:sz w:val="24"/>
          <w:szCs w:val="24"/>
        </w:rPr>
        <w:footnoteReference w:id="90"/>
      </w:r>
      <w:r>
        <w:rPr>
          <w:rFonts w:ascii="Times New Roman" w:cs="Times New Roman" w:hAnsi="Times New Roman"/>
          <w:sz w:val="24"/>
          <w:szCs w:val="24"/>
        </w:rPr>
        <w:t xml:space="preserve"> and a legal mother.</w:t>
      </w:r>
      <w:r>
        <w:rPr>
          <w:rStyle w:val="style38"/>
          <w:rFonts w:ascii="Times New Roman" w:cs="Times New Roman" w:hAnsi="Times New Roman"/>
          <w:sz w:val="24"/>
          <w:szCs w:val="24"/>
        </w:rPr>
        <w:footnoteReference w:id="91"/>
      </w:r>
      <w:r>
        <w:rPr>
          <w:rFonts w:ascii="Times New Roman" w:cs="Times New Roman" w:hAnsi="Times New Roman"/>
          <w:sz w:val="24"/>
          <w:szCs w:val="24"/>
        </w:rPr>
        <w:t xml:space="preserve"> Similarly, fragmentation may be possible on the paternal side</w:t>
      </w:r>
      <w:r>
        <w:rPr>
          <w:rFonts w:ascii="Times New Roman" w:cs="Times New Roman" w:hAnsi="Times New Roman"/>
          <w:sz w:val="24"/>
          <w:szCs w:val="24"/>
          <w:lang w:val="en-US"/>
        </w:rPr>
        <w:t>.</w:t>
      </w:r>
      <w:r>
        <w:rPr>
          <w:rStyle w:val="style38"/>
          <w:rFonts w:ascii="Times New Roman" w:cs="Times New Roman" w:hAnsi="Times New Roman"/>
          <w:sz w:val="24"/>
          <w:szCs w:val="24"/>
        </w:rPr>
        <w:footnoteReference w:id="92"/>
      </w:r>
      <w:r>
        <w:rPr>
          <w:rFonts w:ascii="Times New Roman" w:cs="Times New Roman" w:hAnsi="Times New Roman"/>
          <w:sz w:val="24"/>
          <w:szCs w:val="24"/>
        </w:rPr>
        <w:t xml:space="preserve"> Hence, parentage becomes legally contested, not a biological fact.</w:t>
      </w:r>
      <w:r>
        <w:rPr>
          <w:rStyle w:val="style38"/>
          <w:rFonts w:ascii="Times New Roman" w:cs="Times New Roman" w:hAnsi="Times New Roman"/>
          <w:sz w:val="24"/>
          <w:szCs w:val="24"/>
        </w:rPr>
        <w:footnoteReference w:id="93"/>
      </w:r>
    </w:p>
    <w:p w14:paraId="251B3E7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Under Nigerian law, the foundations of parentage are still built around older assumptions of birth, marriage, and legitimacy.</w:t>
      </w:r>
      <w:r>
        <w:rPr>
          <w:rStyle w:val="style38"/>
          <w:rFonts w:ascii="Times New Roman" w:cs="Times New Roman" w:hAnsi="Times New Roman"/>
          <w:sz w:val="24"/>
          <w:szCs w:val="24"/>
        </w:rPr>
        <w:footnoteReference w:id="94"/>
      </w:r>
      <w:r>
        <w:rPr>
          <w:rFonts w:ascii="Times New Roman" w:cs="Times New Roman" w:hAnsi="Times New Roman"/>
          <w:sz w:val="24"/>
          <w:szCs w:val="24"/>
        </w:rPr>
        <w:t xml:space="preserve"> The </w:t>
      </w:r>
      <w:r>
        <w:rPr>
          <w:rFonts w:ascii="Times New Roman" w:cs="Times New Roman" w:hAnsi="Times New Roman"/>
          <w:i/>
          <w:iCs/>
          <w:sz w:val="24"/>
          <w:szCs w:val="24"/>
        </w:rPr>
        <w:t>Evidence Act</w:t>
      </w:r>
      <w:r>
        <w:rPr>
          <w:rFonts w:ascii="Times New Roman" w:cs="Times New Roman" w:hAnsi="Times New Roman"/>
          <w:sz w:val="24"/>
          <w:szCs w:val="24"/>
        </w:rPr>
        <w:t xml:space="preserve"> preserves a presumption of legitimacy.</w:t>
      </w:r>
      <w:r>
        <w:rPr>
          <w:rStyle w:val="style38"/>
          <w:rFonts w:ascii="Times New Roman" w:cs="Times New Roman" w:hAnsi="Times New Roman"/>
          <w:sz w:val="24"/>
          <w:szCs w:val="24"/>
        </w:rPr>
        <w:footnoteReference w:id="95"/>
      </w:r>
      <w:r>
        <w:rPr>
          <w:rFonts w:ascii="Times New Roman" w:cs="Times New Roman" w:hAnsi="Times New Roman"/>
          <w:sz w:val="24"/>
          <w:szCs w:val="24"/>
        </w:rPr>
        <w:t xml:space="preserve">On the other hand, the </w:t>
      </w:r>
      <w:r>
        <w:rPr>
          <w:rFonts w:ascii="Times New Roman" w:cs="Times New Roman" w:hAnsi="Times New Roman"/>
          <w:i/>
          <w:iCs/>
          <w:sz w:val="24"/>
          <w:szCs w:val="24"/>
        </w:rPr>
        <w:t xml:space="preserve">MCA </w:t>
      </w:r>
      <w:r>
        <w:rPr>
          <w:rFonts w:ascii="Times New Roman" w:cs="Times New Roman" w:hAnsi="Times New Roman"/>
          <w:sz w:val="24"/>
          <w:szCs w:val="24"/>
        </w:rPr>
        <w:t>and the</w:t>
      </w:r>
      <w:r>
        <w:rPr>
          <w:rFonts w:ascii="Times New Roman" w:cs="Times New Roman" w:hAnsi="Times New Roman"/>
          <w:i/>
          <w:iCs/>
          <w:sz w:val="24"/>
          <w:szCs w:val="24"/>
        </w:rPr>
        <w:t xml:space="preserve"> Child’s Rights Act</w:t>
      </w:r>
      <w:r>
        <w:rPr>
          <w:rFonts w:ascii="Times New Roman" w:cs="Times New Roman" w:hAnsi="Times New Roman"/>
          <w:sz w:val="24"/>
          <w:szCs w:val="24"/>
        </w:rPr>
        <w:t xml:space="preserve"> frame judicial interventions around the welfare and interests of the child.</w:t>
      </w:r>
      <w:r>
        <w:rPr>
          <w:rStyle w:val="style38"/>
          <w:rFonts w:ascii="Times New Roman" w:cs="Times New Roman" w:hAnsi="Times New Roman"/>
          <w:sz w:val="24"/>
          <w:szCs w:val="24"/>
        </w:rPr>
        <w:footnoteReference w:id="96"/>
      </w:r>
      <w:r>
        <w:rPr>
          <w:rFonts w:ascii="Times New Roman" w:cs="Times New Roman" w:hAnsi="Times New Roman"/>
          <w:i/>
          <w:iCs/>
          <w:sz w:val="24"/>
          <w:szCs w:val="24"/>
        </w:rPr>
        <w:t xml:space="preserve">Section 165 of the Evidence Act </w:t>
      </w:r>
      <w:r>
        <w:rPr>
          <w:rFonts w:ascii="Times New Roman" w:cs="Times New Roman" w:hAnsi="Times New Roman"/>
          <w:sz w:val="24"/>
          <w:szCs w:val="24"/>
          <w:lang w:val="en-US"/>
        </w:rPr>
        <w:t>recognizes</w:t>
      </w:r>
      <w:r>
        <w:rPr>
          <w:rFonts w:ascii="Times New Roman" w:cs="Times New Roman" w:hAnsi="Times New Roman"/>
          <w:sz w:val="24"/>
          <w:szCs w:val="24"/>
        </w:rPr>
        <w:t xml:space="preserve"> a presumption of legitimacy.</w:t>
      </w:r>
      <w:r>
        <w:rPr>
          <w:rStyle w:val="style38"/>
          <w:rFonts w:ascii="Times New Roman" w:cs="Times New Roman" w:hAnsi="Times New Roman"/>
          <w:sz w:val="24"/>
          <w:szCs w:val="24"/>
        </w:rPr>
        <w:footnoteReference w:id="97"/>
      </w:r>
      <w:r>
        <w:rPr>
          <w:rFonts w:ascii="Times New Roman" w:cs="Times New Roman" w:hAnsi="Times New Roman"/>
          <w:i/>
          <w:iCs/>
          <w:sz w:val="24"/>
          <w:szCs w:val="24"/>
        </w:rPr>
        <w:t>Section 71 of the MCA</w:t>
      </w:r>
      <w:r>
        <w:rPr>
          <w:rFonts w:ascii="Times New Roman" w:cs="Times New Roman" w:hAnsi="Times New Roman"/>
          <w:sz w:val="24"/>
          <w:szCs w:val="24"/>
        </w:rPr>
        <w:t xml:space="preserve"> makes the interests of children of the marriage paramount in custody, welfare, and education proceedings.</w:t>
      </w:r>
      <w:r>
        <w:rPr>
          <w:rStyle w:val="style38"/>
          <w:rFonts w:ascii="Times New Roman" w:cs="Times New Roman" w:hAnsi="Times New Roman"/>
          <w:sz w:val="24"/>
          <w:szCs w:val="24"/>
        </w:rPr>
        <w:footnoteReference w:id="98"/>
      </w:r>
      <w:r>
        <w:rPr>
          <w:rFonts w:ascii="Times New Roman" w:cs="Times New Roman" w:hAnsi="Times New Roman"/>
          <w:i/>
          <w:iCs/>
          <w:sz w:val="24"/>
          <w:szCs w:val="24"/>
        </w:rPr>
        <w:t>Section 1 of the Child’s Rights Act</w:t>
      </w:r>
      <w:r>
        <w:rPr>
          <w:rFonts w:ascii="Times New Roman" w:cs="Times New Roman" w:hAnsi="Times New Roman"/>
          <w:sz w:val="24"/>
          <w:szCs w:val="24"/>
        </w:rPr>
        <w:t xml:space="preserve"> provides that in every action concerning a child, the child’s best interest shall be the primary consideration.</w:t>
      </w:r>
      <w:r>
        <w:rPr>
          <w:rStyle w:val="style38"/>
          <w:rFonts w:ascii="Times New Roman" w:cs="Times New Roman" w:hAnsi="Times New Roman"/>
          <w:sz w:val="24"/>
          <w:szCs w:val="24"/>
        </w:rPr>
        <w:footnoteReference w:id="99"/>
      </w:r>
      <w:r>
        <w:rPr>
          <w:rFonts w:ascii="Times New Roman" w:cs="Times New Roman" w:hAnsi="Times New Roman"/>
          <w:sz w:val="24"/>
          <w:szCs w:val="24"/>
          <w:lang w:val="en-US"/>
        </w:rPr>
        <w:t>T</w:t>
      </w:r>
      <w:r>
        <w:rPr>
          <w:rFonts w:ascii="Times New Roman" w:cs="Times New Roman" w:hAnsi="Times New Roman"/>
          <w:sz w:val="24"/>
          <w:szCs w:val="24"/>
        </w:rPr>
        <w:t>he</w:t>
      </w:r>
      <w:r>
        <w:rPr>
          <w:rFonts w:ascii="Times New Roman" w:cs="Times New Roman" w:hAnsi="Times New Roman"/>
          <w:i/>
          <w:iCs/>
          <w:sz w:val="24"/>
          <w:szCs w:val="24"/>
        </w:rPr>
        <w:t xml:space="preserve"> National Health Act 2014</w:t>
      </w:r>
      <w:r>
        <w:rPr>
          <w:rFonts w:ascii="Times New Roman" w:cs="Times New Roman" w:hAnsi="Times New Roman"/>
          <w:sz w:val="24"/>
          <w:szCs w:val="24"/>
        </w:rPr>
        <w:t xml:space="preserve">, particularly </w:t>
      </w:r>
      <w:r>
        <w:rPr>
          <w:rFonts w:ascii="Times New Roman" w:cs="Times New Roman" w:hAnsi="Times New Roman"/>
          <w:i/>
          <w:iCs/>
          <w:sz w:val="24"/>
          <w:szCs w:val="24"/>
        </w:rPr>
        <w:t>section 50</w:t>
      </w:r>
      <w:r>
        <w:rPr>
          <w:rFonts w:ascii="Times New Roman" w:cs="Times New Roman" w:hAnsi="Times New Roman"/>
          <w:sz w:val="24"/>
          <w:szCs w:val="24"/>
        </w:rPr>
        <w:t xml:space="preserve">, </w:t>
      </w:r>
      <w:r>
        <w:rPr>
          <w:rFonts w:ascii="Times New Roman" w:cs="Times New Roman" w:hAnsi="Times New Roman"/>
          <w:sz w:val="24"/>
          <w:szCs w:val="24"/>
          <w:lang w:val="en-US"/>
        </w:rPr>
        <w:t>i</w:t>
      </w:r>
      <w:r>
        <w:rPr>
          <w:rFonts w:ascii="Times New Roman" w:cs="Times New Roman" w:hAnsi="Times New Roman"/>
          <w:sz w:val="24"/>
          <w:szCs w:val="24"/>
        </w:rPr>
        <w:t>s the closest legislative intervention.</w:t>
      </w:r>
      <w:r>
        <w:rPr>
          <w:rStyle w:val="style38"/>
          <w:rFonts w:ascii="Times New Roman" w:cs="Times New Roman" w:hAnsi="Times New Roman"/>
          <w:sz w:val="24"/>
          <w:szCs w:val="24"/>
        </w:rPr>
        <w:footnoteReference w:id="100"/>
      </w:r>
      <w:r>
        <w:rPr>
          <w:rFonts w:ascii="Times New Roman" w:cs="Times New Roman" w:hAnsi="Times New Roman"/>
          <w:sz w:val="24"/>
          <w:szCs w:val="24"/>
        </w:rPr>
        <w:t>While the provision restricts certain genetic practices and regulates embryo handling, its wording is ambiguous and its enforcement negligible, given the widespread and open practice of IVF across Nigeria without regulatory sanctions.</w:t>
      </w:r>
      <w:r>
        <w:rPr>
          <w:rStyle w:val="style38"/>
          <w:rFonts w:ascii="Times New Roman" w:cs="Times New Roman" w:hAnsi="Times New Roman"/>
          <w:sz w:val="24"/>
          <w:szCs w:val="24"/>
        </w:rPr>
        <w:footnoteReference w:id="101"/>
      </w:r>
      <w:r>
        <w:rPr>
          <w:rFonts w:ascii="Times New Roman" w:cs="Times New Roman" w:hAnsi="Times New Roman"/>
          <w:sz w:val="24"/>
          <w:szCs w:val="24"/>
        </w:rPr>
        <w:t xml:space="preserve"> These</w:t>
      </w:r>
      <w:r>
        <w:rPr>
          <w:rStyle w:val="style38"/>
          <w:rFonts w:ascii="Times New Roman" w:cs="Times New Roman" w:hAnsi="Times New Roman"/>
          <w:sz w:val="24"/>
          <w:szCs w:val="24"/>
        </w:rPr>
        <w:footnoteReference w:id="102"/>
      </w:r>
      <w:r>
        <w:rPr>
          <w:rFonts w:ascii="Times New Roman" w:cs="Times New Roman" w:hAnsi="Times New Roman"/>
          <w:sz w:val="24"/>
          <w:szCs w:val="24"/>
        </w:rPr>
        <w:t xml:space="preserve"> were not drafted with surrogacy, embryo transfer, donor conception, or cryopreserved embryos in mind. Their language is adaptable. However, they are not sufficient. </w:t>
      </w:r>
    </w:p>
    <w:p w14:paraId="44785F25">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Going further, biology alone is no longer sufficient to determine parentage.</w:t>
      </w:r>
      <w:r>
        <w:rPr>
          <w:rStyle w:val="style38"/>
          <w:rFonts w:ascii="Times New Roman" w:cs="Times New Roman" w:hAnsi="Times New Roman"/>
          <w:sz w:val="24"/>
          <w:szCs w:val="24"/>
        </w:rPr>
        <w:footnoteReference w:id="103"/>
      </w:r>
      <w:r>
        <w:rPr>
          <w:rFonts w:ascii="Times New Roman" w:cs="Times New Roman" w:hAnsi="Times New Roman"/>
          <w:sz w:val="24"/>
          <w:szCs w:val="24"/>
        </w:rPr>
        <w:t xml:space="preserve"> In the United Kingdom, particularly under the </w:t>
      </w:r>
      <w:r>
        <w:rPr>
          <w:rFonts w:ascii="Times New Roman" w:cs="Times New Roman" w:hAnsi="Times New Roman"/>
          <w:i/>
          <w:iCs/>
          <w:sz w:val="24"/>
          <w:szCs w:val="24"/>
        </w:rPr>
        <w:t xml:space="preserve">Human </w:t>
      </w:r>
      <w:r>
        <w:rPr>
          <w:rFonts w:ascii="Times New Roman" w:cs="Times New Roman" w:hAnsi="Times New Roman"/>
          <w:i/>
          <w:iCs/>
          <w:sz w:val="24"/>
          <w:szCs w:val="24"/>
          <w:lang w:val="en-US"/>
        </w:rPr>
        <w:t>Fertilization</w:t>
      </w:r>
      <w:r>
        <w:rPr>
          <w:rFonts w:ascii="Times New Roman" w:cs="Times New Roman" w:hAnsi="Times New Roman"/>
          <w:i/>
          <w:iCs/>
          <w:sz w:val="24"/>
          <w:szCs w:val="24"/>
        </w:rPr>
        <w:t xml:space="preserve"> and Embryology Act 2008</w:t>
      </w:r>
      <w:r>
        <w:rPr>
          <w:rFonts w:ascii="Times New Roman" w:cs="Times New Roman" w:hAnsi="Times New Roman"/>
          <w:sz w:val="24"/>
          <w:szCs w:val="24"/>
        </w:rPr>
        <w:t xml:space="preserve">, a gestational surrogacy arrangement may result in a situation where the surrogate carries a child with whom she has no genetic link, yet she is </w:t>
      </w:r>
      <w:r>
        <w:rPr>
          <w:rFonts w:ascii="Times New Roman" w:cs="Times New Roman" w:hAnsi="Times New Roman"/>
          <w:sz w:val="24"/>
          <w:szCs w:val="24"/>
          <w:lang w:val="en-US"/>
        </w:rPr>
        <w:t>recognized</w:t>
      </w:r>
      <w:r>
        <w:rPr>
          <w:rFonts w:ascii="Times New Roman" w:cs="Times New Roman" w:hAnsi="Times New Roman"/>
          <w:sz w:val="24"/>
          <w:szCs w:val="24"/>
        </w:rPr>
        <w:t xml:space="preserve"> as the legal mother at birth.</w:t>
      </w:r>
      <w:r>
        <w:rPr>
          <w:rStyle w:val="style38"/>
          <w:rFonts w:ascii="Times New Roman" w:cs="Times New Roman" w:hAnsi="Times New Roman"/>
          <w:sz w:val="24"/>
          <w:szCs w:val="24"/>
        </w:rPr>
        <w:footnoteReference w:id="104"/>
      </w:r>
      <w:r>
        <w:rPr>
          <w:rFonts w:ascii="Times New Roman" w:cs="Times New Roman" w:hAnsi="Times New Roman"/>
          <w:sz w:val="24"/>
          <w:szCs w:val="24"/>
        </w:rPr>
        <w:t xml:space="preserve"> In the same jurisdiction, donor conception is governed by statutory provisions which exclude</w:t>
      </w:r>
      <w:r>
        <w:rPr>
          <w:rFonts w:ascii="Times New Roman" w:cs="Times New Roman" w:hAnsi="Times New Roman"/>
          <w:sz w:val="24"/>
          <w:szCs w:val="24"/>
          <w:lang w:val="en-US"/>
        </w:rPr>
        <w:t>s</w:t>
      </w:r>
      <w:r>
        <w:rPr>
          <w:rFonts w:ascii="Times New Roman" w:cs="Times New Roman" w:hAnsi="Times New Roman"/>
          <w:sz w:val="24"/>
          <w:szCs w:val="24"/>
        </w:rPr>
        <w:t xml:space="preserve"> gamete donors from legal parenthood, regardless of any genetic connection or intention to parent.</w:t>
      </w:r>
      <w:r>
        <w:rPr>
          <w:rStyle w:val="style38"/>
          <w:rFonts w:ascii="Times New Roman" w:cs="Times New Roman" w:hAnsi="Times New Roman"/>
          <w:sz w:val="24"/>
          <w:szCs w:val="24"/>
        </w:rPr>
        <w:footnoteReference w:id="105"/>
      </w:r>
      <w:r>
        <w:rPr>
          <w:rFonts w:ascii="Times New Roman" w:cs="Times New Roman" w:hAnsi="Times New Roman"/>
          <w:sz w:val="24"/>
          <w:szCs w:val="24"/>
        </w:rPr>
        <w:t xml:space="preserve"> In an IVF arrangement involving married intend</w:t>
      </w:r>
      <w:r>
        <w:rPr>
          <w:rFonts w:ascii="Times New Roman" w:cs="Times New Roman" w:hAnsi="Times New Roman"/>
          <w:sz w:val="24"/>
          <w:szCs w:val="24"/>
          <w:lang w:val="en-US"/>
        </w:rPr>
        <w:t>ing</w:t>
      </w:r>
      <w:r>
        <w:rPr>
          <w:rFonts w:ascii="Times New Roman" w:cs="Times New Roman" w:hAnsi="Times New Roman"/>
          <w:sz w:val="24"/>
          <w:szCs w:val="24"/>
        </w:rPr>
        <w:t xml:space="preserve"> parents, intention and social responsibility may be stronger indicators of parenthood than gestation or gamete contribution.</w:t>
      </w:r>
      <w:r>
        <w:rPr>
          <w:rStyle w:val="style38"/>
          <w:rFonts w:ascii="Times New Roman" w:cs="Times New Roman" w:hAnsi="Times New Roman"/>
          <w:sz w:val="24"/>
          <w:szCs w:val="24"/>
        </w:rPr>
        <w:footnoteReference w:id="106"/>
      </w:r>
      <w:r>
        <w:rPr>
          <w:rFonts w:ascii="Times New Roman" w:cs="Times New Roman" w:hAnsi="Times New Roman"/>
          <w:sz w:val="24"/>
          <w:szCs w:val="24"/>
        </w:rPr>
        <w:t xml:space="preserve"> Comparatively, the common law has wrestled with this problem. In </w:t>
      </w:r>
      <w:r>
        <w:rPr>
          <w:rStyle w:val="style87"/>
          <w:rFonts w:ascii="Times New Roman" w:cs="Times New Roman" w:hAnsi="Times New Roman"/>
          <w:b w:val="false"/>
          <w:i/>
          <w:iCs/>
          <w:sz w:val="24"/>
          <w:szCs w:val="24"/>
        </w:rPr>
        <w:t>Johnson v Calvert</w:t>
      </w:r>
      <w:r>
        <w:rPr>
          <w:rFonts w:ascii="Times New Roman" w:cs="Times New Roman" w:hAnsi="Times New Roman"/>
          <w:sz w:val="24"/>
          <w:szCs w:val="24"/>
        </w:rPr>
        <w:t>,</w:t>
      </w:r>
      <w:r>
        <w:rPr>
          <w:rStyle w:val="style38"/>
          <w:rFonts w:ascii="Times New Roman" w:cs="Times New Roman" w:hAnsi="Times New Roman"/>
          <w:sz w:val="24"/>
          <w:szCs w:val="24"/>
        </w:rPr>
        <w:footnoteReference w:id="107"/>
      </w:r>
      <w:r>
        <w:rPr>
          <w:rFonts w:ascii="Times New Roman" w:cs="Times New Roman" w:hAnsi="Times New Roman"/>
          <w:sz w:val="24"/>
          <w:szCs w:val="24"/>
        </w:rPr>
        <w:t xml:space="preserve"> the Supreme Court of California held that where gestation and genetics were split, the intended couple whose gametes created the embryo were the child’s natural parents. The court effectively gave decisive weight to procreative intent in that case.</w:t>
      </w:r>
      <w:r>
        <w:rPr>
          <w:rStyle w:val="style38"/>
          <w:rFonts w:ascii="Times New Roman" w:cs="Times New Roman" w:hAnsi="Times New Roman"/>
          <w:sz w:val="24"/>
          <w:szCs w:val="24"/>
        </w:rPr>
        <w:footnoteReference w:id="108"/>
      </w:r>
      <w:r>
        <w:rPr>
          <w:rFonts w:ascii="Times New Roman" w:cs="Times New Roman" w:hAnsi="Times New Roman"/>
          <w:sz w:val="24"/>
          <w:szCs w:val="24"/>
        </w:rPr>
        <w:t xml:space="preserve">  By contrast, in the older American case of </w:t>
      </w:r>
      <w:r>
        <w:rPr>
          <w:rStyle w:val="style87"/>
          <w:rFonts w:ascii="Times New Roman" w:cs="Times New Roman" w:hAnsi="Times New Roman"/>
          <w:b w:val="false"/>
          <w:sz w:val="24"/>
          <w:szCs w:val="24"/>
        </w:rPr>
        <w:t xml:space="preserve">In </w:t>
      </w:r>
      <w:r>
        <w:rPr>
          <w:rStyle w:val="style87"/>
          <w:rFonts w:ascii="Times New Roman" w:cs="Times New Roman" w:hAnsi="Times New Roman"/>
          <w:b w:val="false"/>
          <w:i/>
          <w:iCs/>
          <w:sz w:val="24"/>
          <w:szCs w:val="24"/>
        </w:rPr>
        <w:t>re Baby M,</w:t>
      </w:r>
      <w:r>
        <w:rPr>
          <w:rStyle w:val="style38"/>
          <w:rFonts w:ascii="Times New Roman" w:cs="Times New Roman" w:hAnsi="Times New Roman"/>
          <w:i/>
          <w:iCs/>
          <w:sz w:val="24"/>
          <w:szCs w:val="24"/>
        </w:rPr>
        <w:footnoteReference w:id="109"/>
      </w:r>
      <w:r>
        <w:rPr>
          <w:rStyle w:val="style87"/>
          <w:rFonts w:ascii="Times New Roman" w:cs="Times New Roman" w:hAnsi="Times New Roman"/>
          <w:b w:val="false"/>
          <w:sz w:val="24"/>
          <w:szCs w:val="24"/>
        </w:rPr>
        <w:t xml:space="preserve"> the court viewed traditional surrogacy with greater scepticism. It declined to uphold the surrogacy agreement as it was drafted</w:t>
      </w:r>
      <w:r>
        <w:rPr>
          <w:rFonts w:ascii="Times New Roman" w:cs="Times New Roman" w:hAnsi="Times New Roman"/>
          <w:sz w:val="24"/>
          <w:szCs w:val="24"/>
        </w:rPr>
        <w:t>. In essence, the judiciary is concerned about commodification and maternal rights. These show that parentage is not a neutral category biologically.</w:t>
      </w:r>
      <w:r>
        <w:rPr>
          <w:rStyle w:val="style38"/>
          <w:rFonts w:ascii="Times New Roman" w:cs="Times New Roman" w:hAnsi="Times New Roman"/>
          <w:sz w:val="24"/>
          <w:szCs w:val="24"/>
        </w:rPr>
        <w:footnoteReference w:id="110"/>
      </w:r>
      <w:r>
        <w:rPr>
          <w:rFonts w:ascii="Times New Roman" w:cs="Times New Roman" w:hAnsi="Times New Roman"/>
          <w:sz w:val="24"/>
          <w:szCs w:val="24"/>
        </w:rPr>
        <w:t xml:space="preserve"> Rather, it is a policy choice and it is shaped by the theory of family, contract, dignity, and child welfare in a legal system.</w:t>
      </w:r>
      <w:r>
        <w:rPr>
          <w:rStyle w:val="style38"/>
          <w:rFonts w:ascii="Times New Roman" w:cs="Times New Roman" w:hAnsi="Times New Roman"/>
          <w:sz w:val="24"/>
          <w:szCs w:val="24"/>
        </w:rPr>
        <w:footnoteReference w:id="111"/>
      </w:r>
    </w:p>
    <w:p w14:paraId="095AFFF3">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There is a dearth of </w:t>
      </w:r>
      <w:r>
        <w:rPr>
          <w:rFonts w:ascii="Times New Roman" w:cs="Times New Roman" w:hAnsi="Times New Roman"/>
          <w:sz w:val="24"/>
          <w:szCs w:val="24"/>
          <w:lang w:val="en-US"/>
        </w:rPr>
        <w:t>d</w:t>
      </w:r>
      <w:r>
        <w:rPr>
          <w:rFonts w:ascii="Times New Roman" w:cs="Times New Roman" w:hAnsi="Times New Roman"/>
          <w:sz w:val="24"/>
          <w:szCs w:val="24"/>
        </w:rPr>
        <w:t xml:space="preserve">ecided cases on </w:t>
      </w:r>
      <w:r>
        <w:rPr>
          <w:rFonts w:ascii="Times New Roman" w:cs="Times New Roman" w:hAnsi="Times New Roman"/>
          <w:sz w:val="24"/>
          <w:szCs w:val="24"/>
          <w:lang w:val="en-US"/>
        </w:rPr>
        <w:t>s</w:t>
      </w:r>
      <w:r>
        <w:rPr>
          <w:rFonts w:ascii="Times New Roman" w:cs="Times New Roman" w:hAnsi="Times New Roman"/>
          <w:sz w:val="24"/>
          <w:szCs w:val="24"/>
        </w:rPr>
        <w:t>urrogacy in Nigeria. However, decided cases on paternity, legitimacy, inheritance, and child welfare remain instructive.</w:t>
      </w:r>
      <w:r>
        <w:rPr>
          <w:rStyle w:val="style38"/>
          <w:rFonts w:ascii="Times New Roman" w:cs="Times New Roman" w:hAnsi="Times New Roman"/>
          <w:sz w:val="24"/>
          <w:szCs w:val="24"/>
        </w:rPr>
        <w:footnoteReference w:id="112"/>
      </w:r>
      <w:r>
        <w:rPr>
          <w:rFonts w:ascii="Times New Roman" w:cs="Times New Roman" w:hAnsi="Times New Roman"/>
          <w:sz w:val="24"/>
          <w:szCs w:val="24"/>
        </w:rPr>
        <w:t xml:space="preserve"> In </w:t>
      </w:r>
      <w:r>
        <w:rPr>
          <w:rStyle w:val="style87"/>
          <w:rFonts w:ascii="Times New Roman" w:cs="Times New Roman" w:hAnsi="Times New Roman"/>
          <w:b w:val="false"/>
          <w:i/>
          <w:iCs/>
          <w:sz w:val="24"/>
          <w:szCs w:val="24"/>
        </w:rPr>
        <w:t>Tony Anozia v Mrs Patricia Okwunwa Nnani &amp; Anor</w:t>
      </w:r>
      <w:r>
        <w:rPr>
          <w:rFonts w:ascii="Times New Roman" w:cs="Times New Roman" w:hAnsi="Times New Roman"/>
          <w:sz w:val="24"/>
          <w:szCs w:val="24"/>
        </w:rPr>
        <w:t>,</w:t>
      </w:r>
      <w:r>
        <w:rPr>
          <w:rStyle w:val="style38"/>
          <w:rFonts w:ascii="Times New Roman" w:cs="Times New Roman" w:hAnsi="Times New Roman"/>
          <w:sz w:val="24"/>
          <w:szCs w:val="24"/>
        </w:rPr>
        <w:footnoteReference w:id="113"/>
      </w:r>
      <w:r>
        <w:rPr>
          <w:rFonts w:ascii="Times New Roman" w:cs="Times New Roman" w:hAnsi="Times New Roman"/>
          <w:sz w:val="24"/>
          <w:szCs w:val="24"/>
        </w:rPr>
        <w:t xml:space="preserve"> the Court of Appeal held that a court cannot compel a person to undergo DNA testing against their will, as such an order would infringe the person’s fundamental rights to dignity and personal liberty. However, the court also held that refusal to submit to DNA testing may allow the court to draw appropriate inferences from the available evidence.</w:t>
      </w:r>
      <w:r>
        <w:rPr>
          <w:rStyle w:val="style38"/>
          <w:rFonts w:ascii="Times New Roman" w:cs="Times New Roman" w:hAnsi="Times New Roman"/>
          <w:sz w:val="24"/>
          <w:szCs w:val="24"/>
        </w:rPr>
        <w:footnoteReference w:id="114"/>
      </w:r>
      <w:r>
        <w:rPr>
          <w:rFonts w:ascii="Times New Roman" w:cs="Times New Roman" w:hAnsi="Times New Roman"/>
          <w:sz w:val="24"/>
          <w:szCs w:val="24"/>
        </w:rPr>
        <w:t>This illustrates that there is judicial caution where biological proof intersects with dignity and privacy.</w:t>
      </w:r>
      <w:r>
        <w:rPr>
          <w:rStyle w:val="style38"/>
          <w:rFonts w:ascii="Times New Roman" w:cs="Times New Roman" w:hAnsi="Times New Roman"/>
          <w:sz w:val="24"/>
          <w:szCs w:val="24"/>
        </w:rPr>
        <w:footnoteReference w:id="115"/>
      </w:r>
      <w:r>
        <w:rPr>
          <w:rFonts w:ascii="Times New Roman" w:cs="Times New Roman" w:hAnsi="Times New Roman"/>
          <w:sz w:val="24"/>
          <w:szCs w:val="24"/>
        </w:rPr>
        <w:t xml:space="preserve"> In </w:t>
      </w:r>
      <w:r>
        <w:rPr>
          <w:rStyle w:val="style87"/>
          <w:rFonts w:ascii="Times New Roman" w:cs="Times New Roman" w:hAnsi="Times New Roman"/>
          <w:b w:val="false"/>
          <w:i/>
          <w:iCs/>
          <w:sz w:val="24"/>
          <w:szCs w:val="24"/>
        </w:rPr>
        <w:t>Imoru v Kadiri</w:t>
      </w:r>
      <w:r>
        <w:rPr>
          <w:rFonts w:ascii="Times New Roman" w:cs="Times New Roman" w:hAnsi="Times New Roman"/>
          <w:sz w:val="24"/>
          <w:szCs w:val="24"/>
        </w:rPr>
        <w:t>,</w:t>
      </w:r>
      <w:r>
        <w:rPr>
          <w:rStyle w:val="style38"/>
          <w:rFonts w:ascii="Times New Roman" w:cs="Times New Roman" w:hAnsi="Times New Roman"/>
          <w:sz w:val="24"/>
          <w:szCs w:val="24"/>
        </w:rPr>
        <w:footnoteReference w:id="116"/>
      </w:r>
      <w:r>
        <w:rPr>
          <w:rFonts w:ascii="Times New Roman" w:cs="Times New Roman" w:hAnsi="Times New Roman"/>
          <w:sz w:val="24"/>
          <w:szCs w:val="24"/>
        </w:rPr>
        <w:t xml:space="preserve"> the court </w:t>
      </w:r>
      <w:r>
        <w:rPr>
          <w:rFonts w:ascii="Times New Roman" w:cs="Times New Roman" w:hAnsi="Times New Roman"/>
          <w:sz w:val="24"/>
          <w:szCs w:val="24"/>
          <w:lang w:val="en-US"/>
        </w:rPr>
        <w:t>recognized</w:t>
      </w:r>
      <w:r>
        <w:rPr>
          <w:rFonts w:ascii="Times New Roman" w:cs="Times New Roman" w:hAnsi="Times New Roman"/>
          <w:sz w:val="24"/>
          <w:szCs w:val="24"/>
        </w:rPr>
        <w:t xml:space="preserve"> that paternity become</w:t>
      </w:r>
      <w:r>
        <w:rPr>
          <w:rFonts w:ascii="Times New Roman" w:cs="Times New Roman" w:hAnsi="Times New Roman"/>
          <w:sz w:val="24"/>
          <w:szCs w:val="24"/>
          <w:lang w:val="en-US"/>
        </w:rPr>
        <w:t>s</w:t>
      </w:r>
      <w:r>
        <w:rPr>
          <w:rFonts w:ascii="Times New Roman" w:cs="Times New Roman" w:hAnsi="Times New Roman"/>
          <w:sz w:val="24"/>
          <w:szCs w:val="24"/>
        </w:rPr>
        <w:t xml:space="preserve"> a question of proof, not presumption (especially outside marriage). In </w:t>
      </w:r>
      <w:r>
        <w:rPr>
          <w:rStyle w:val="style87"/>
          <w:rFonts w:ascii="Times New Roman" w:cs="Times New Roman" w:hAnsi="Times New Roman"/>
          <w:b w:val="false"/>
          <w:i/>
          <w:iCs/>
          <w:sz w:val="24"/>
          <w:szCs w:val="24"/>
        </w:rPr>
        <w:t>Williams v Williams</w:t>
      </w:r>
      <w:r>
        <w:rPr>
          <w:rFonts w:ascii="Times New Roman" w:cs="Times New Roman" w:hAnsi="Times New Roman"/>
          <w:sz w:val="24"/>
          <w:szCs w:val="24"/>
        </w:rPr>
        <w:t>,</w:t>
      </w:r>
      <w:r>
        <w:rPr>
          <w:rStyle w:val="style38"/>
          <w:rFonts w:ascii="Times New Roman" w:cs="Times New Roman" w:hAnsi="Times New Roman"/>
          <w:sz w:val="24"/>
          <w:szCs w:val="24"/>
        </w:rPr>
        <w:footnoteReference w:id="117"/>
      </w:r>
      <w:r>
        <w:rPr>
          <w:rFonts w:ascii="Times New Roman" w:cs="Times New Roman" w:hAnsi="Times New Roman"/>
          <w:sz w:val="24"/>
          <w:szCs w:val="24"/>
        </w:rPr>
        <w:t xml:space="preserve"> the Supreme Court emphasised that the child's well-being should be a priority in custody disputes. These cases</w:t>
      </w:r>
      <w:r>
        <w:rPr>
          <w:rStyle w:val="style38"/>
          <w:rFonts w:ascii="Times New Roman" w:cs="Times New Roman" w:hAnsi="Times New Roman"/>
          <w:sz w:val="24"/>
          <w:szCs w:val="24"/>
        </w:rPr>
        <w:footnoteReference w:id="118"/>
      </w:r>
      <w:r>
        <w:rPr>
          <w:rFonts w:ascii="Times New Roman" w:cs="Times New Roman" w:hAnsi="Times New Roman"/>
          <w:sz w:val="24"/>
          <w:szCs w:val="24"/>
        </w:rPr>
        <w:t xml:space="preserve"> do not decide surrogacy directly. However, they reveal three doctrinal tensions that will matter in ART disputes. Firstly, whether biology should prevail over legal presumptions.</w:t>
      </w:r>
      <w:r>
        <w:rPr>
          <w:rStyle w:val="style38"/>
          <w:rFonts w:ascii="Times New Roman" w:cs="Times New Roman" w:hAnsi="Times New Roman"/>
          <w:sz w:val="24"/>
          <w:szCs w:val="24"/>
        </w:rPr>
        <w:footnoteReference w:id="119"/>
      </w:r>
      <w:r>
        <w:rPr>
          <w:rFonts w:ascii="Times New Roman" w:cs="Times New Roman" w:hAnsi="Times New Roman"/>
          <w:sz w:val="24"/>
          <w:szCs w:val="24"/>
        </w:rPr>
        <w:t xml:space="preserve"> Secondly, how far courts may go in compelling scientific proof.</w:t>
      </w:r>
      <w:r>
        <w:rPr>
          <w:rStyle w:val="style38"/>
          <w:rFonts w:ascii="Times New Roman" w:cs="Times New Roman" w:hAnsi="Times New Roman"/>
          <w:sz w:val="24"/>
          <w:szCs w:val="24"/>
        </w:rPr>
        <w:footnoteReference w:id="120"/>
      </w:r>
      <w:r>
        <w:rPr>
          <w:rFonts w:ascii="Times New Roman" w:cs="Times New Roman" w:hAnsi="Times New Roman"/>
          <w:sz w:val="24"/>
          <w:szCs w:val="24"/>
        </w:rPr>
        <w:t xml:space="preserve"> Thirdly, whether welfare justify moving away from rigid formalism.</w:t>
      </w:r>
      <w:r>
        <w:rPr>
          <w:rStyle w:val="style38"/>
          <w:rFonts w:ascii="Times New Roman" w:cs="Times New Roman" w:hAnsi="Times New Roman"/>
          <w:sz w:val="24"/>
          <w:szCs w:val="24"/>
        </w:rPr>
        <w:footnoteReference w:id="121"/>
      </w:r>
    </w:p>
    <w:p w14:paraId="4817891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 further conceptual point is that parentage structures the entire legal existence of the child.</w:t>
      </w:r>
      <w:r>
        <w:rPr>
          <w:rStyle w:val="style38"/>
          <w:rFonts w:ascii="Times New Roman" w:cs="Times New Roman" w:hAnsi="Times New Roman"/>
          <w:sz w:val="24"/>
          <w:szCs w:val="24"/>
        </w:rPr>
        <w:footnoteReference w:id="122"/>
      </w:r>
      <w:r>
        <w:rPr>
          <w:rFonts w:ascii="Times New Roman" w:cs="Times New Roman" w:hAnsi="Times New Roman"/>
          <w:sz w:val="24"/>
          <w:szCs w:val="24"/>
        </w:rPr>
        <w:t xml:space="preserve">A </w:t>
      </w:r>
      <w:r>
        <w:rPr>
          <w:rFonts w:ascii="Times New Roman" w:cs="Times New Roman" w:hAnsi="Times New Roman"/>
          <w:sz w:val="24"/>
          <w:szCs w:val="24"/>
          <w:lang w:val="en-US"/>
        </w:rPr>
        <w:t>recognized</w:t>
      </w:r>
      <w:r>
        <w:rPr>
          <w:rFonts w:ascii="Times New Roman" w:cs="Times New Roman" w:hAnsi="Times New Roman"/>
          <w:sz w:val="24"/>
          <w:szCs w:val="24"/>
        </w:rPr>
        <w:t xml:space="preserve"> legal parent may register the child’s birth and claim custody.</w:t>
      </w:r>
      <w:r>
        <w:rPr>
          <w:rStyle w:val="style38"/>
          <w:rFonts w:ascii="Times New Roman" w:cs="Times New Roman" w:hAnsi="Times New Roman"/>
          <w:sz w:val="24"/>
          <w:szCs w:val="24"/>
        </w:rPr>
        <w:footnoteReference w:id="123"/>
      </w:r>
      <w:r>
        <w:rPr>
          <w:rFonts w:ascii="Times New Roman" w:cs="Times New Roman" w:hAnsi="Times New Roman"/>
          <w:sz w:val="24"/>
          <w:szCs w:val="24"/>
        </w:rPr>
        <w:t xml:space="preserve"> In addition, they may also pass nationality, and transmit inheritance rights.</w:t>
      </w:r>
      <w:r>
        <w:rPr>
          <w:rStyle w:val="style38"/>
          <w:rFonts w:ascii="Times New Roman" w:cs="Times New Roman" w:hAnsi="Times New Roman"/>
          <w:sz w:val="24"/>
          <w:szCs w:val="24"/>
        </w:rPr>
        <w:footnoteReference w:id="124"/>
      </w:r>
      <w:r>
        <w:rPr>
          <w:rFonts w:ascii="Times New Roman" w:cs="Times New Roman" w:hAnsi="Times New Roman"/>
          <w:sz w:val="24"/>
          <w:szCs w:val="24"/>
        </w:rPr>
        <w:t xml:space="preserve"> That is why the </w:t>
      </w:r>
      <w:r>
        <w:rPr>
          <w:rFonts w:ascii="Times New Roman" w:cs="Times New Roman" w:hAnsi="Times New Roman"/>
          <w:i/>
          <w:iCs/>
          <w:sz w:val="24"/>
          <w:szCs w:val="24"/>
        </w:rPr>
        <w:t xml:space="preserve">Child’s Rights Act </w:t>
      </w:r>
      <w:r>
        <w:rPr>
          <w:rFonts w:ascii="Times New Roman" w:cs="Times New Roman" w:hAnsi="Times New Roman"/>
          <w:sz w:val="24"/>
          <w:szCs w:val="24"/>
        </w:rPr>
        <w:t>links a child’s identity and well-being to legal recognition.</w:t>
      </w:r>
      <w:r>
        <w:rPr>
          <w:rStyle w:val="style38"/>
          <w:rFonts w:ascii="Times New Roman" w:cs="Times New Roman" w:hAnsi="Times New Roman"/>
          <w:sz w:val="24"/>
          <w:szCs w:val="24"/>
        </w:rPr>
        <w:footnoteReference w:id="125"/>
      </w:r>
      <w:r>
        <w:rPr>
          <w:rFonts w:ascii="Times New Roman" w:cs="Times New Roman" w:hAnsi="Times New Roman"/>
          <w:i/>
          <w:iCs/>
          <w:sz w:val="24"/>
          <w:szCs w:val="24"/>
        </w:rPr>
        <w:t>Section 5</w:t>
      </w:r>
      <w:r>
        <w:rPr>
          <w:rFonts w:ascii="Times New Roman" w:cs="Times New Roman" w:hAnsi="Times New Roman"/>
          <w:sz w:val="24"/>
          <w:szCs w:val="24"/>
          <w:lang w:val="en-US"/>
        </w:rPr>
        <w:t>recognizes</w:t>
      </w:r>
      <w:r>
        <w:rPr>
          <w:rFonts w:ascii="Times New Roman" w:cs="Times New Roman" w:hAnsi="Times New Roman"/>
          <w:sz w:val="24"/>
          <w:szCs w:val="24"/>
        </w:rPr>
        <w:t xml:space="preserve"> a child’s right to a name.</w:t>
      </w:r>
      <w:r>
        <w:rPr>
          <w:rStyle w:val="style38"/>
          <w:rFonts w:ascii="Times New Roman" w:cs="Times New Roman" w:hAnsi="Times New Roman"/>
          <w:sz w:val="24"/>
          <w:szCs w:val="24"/>
        </w:rPr>
        <w:footnoteReference w:id="126"/>
      </w:r>
      <w:r>
        <w:rPr>
          <w:rFonts w:ascii="Times New Roman" w:cs="Times New Roman" w:hAnsi="Times New Roman"/>
          <w:i/>
          <w:iCs/>
          <w:sz w:val="24"/>
          <w:szCs w:val="24"/>
        </w:rPr>
        <w:t xml:space="preserve"> Section 8</w:t>
      </w:r>
      <w:r>
        <w:rPr>
          <w:rFonts w:ascii="Times New Roman" w:cs="Times New Roman" w:hAnsi="Times New Roman"/>
          <w:sz w:val="24"/>
          <w:szCs w:val="24"/>
        </w:rPr>
        <w:t xml:space="preserve"> protects private and family life.</w:t>
      </w:r>
      <w:r>
        <w:rPr>
          <w:rStyle w:val="style38"/>
          <w:rFonts w:ascii="Times New Roman" w:cs="Times New Roman" w:hAnsi="Times New Roman"/>
          <w:sz w:val="24"/>
          <w:szCs w:val="24"/>
        </w:rPr>
        <w:footnoteReference w:id="127"/>
      </w:r>
      <w:r>
        <w:rPr>
          <w:rFonts w:ascii="Times New Roman" w:cs="Times New Roman" w:hAnsi="Times New Roman"/>
          <w:i/>
          <w:iCs/>
          <w:sz w:val="24"/>
          <w:szCs w:val="24"/>
        </w:rPr>
        <w:t>Section 4</w:t>
      </w:r>
      <w:r>
        <w:rPr>
          <w:rFonts w:ascii="Times New Roman" w:cs="Times New Roman" w:hAnsi="Times New Roman"/>
          <w:sz w:val="24"/>
          <w:szCs w:val="24"/>
        </w:rPr>
        <w:t xml:space="preserve"> protects survival and development.</w:t>
      </w:r>
      <w:r>
        <w:rPr>
          <w:rStyle w:val="style38"/>
          <w:rFonts w:ascii="Times New Roman" w:cs="Times New Roman" w:hAnsi="Times New Roman"/>
          <w:sz w:val="24"/>
          <w:szCs w:val="24"/>
        </w:rPr>
        <w:footnoteReference w:id="128"/>
      </w:r>
      <w:r>
        <w:rPr>
          <w:rFonts w:ascii="Times New Roman" w:cs="Times New Roman" w:hAnsi="Times New Roman"/>
          <w:i/>
          <w:iCs/>
          <w:sz w:val="24"/>
          <w:szCs w:val="24"/>
        </w:rPr>
        <w:t>The Births, Deaths, etc. (Compulsory Registration) Act</w:t>
      </w:r>
      <w:r>
        <w:rPr>
          <w:rFonts w:ascii="Times New Roman" w:cs="Times New Roman" w:hAnsi="Times New Roman"/>
          <w:sz w:val="24"/>
          <w:szCs w:val="24"/>
        </w:rPr>
        <w:t xml:space="preserve"> requires the registration of every birth in Nigeria.</w:t>
      </w:r>
      <w:r>
        <w:rPr>
          <w:rStyle w:val="style38"/>
          <w:rFonts w:ascii="Times New Roman" w:cs="Times New Roman" w:hAnsi="Times New Roman"/>
          <w:sz w:val="24"/>
          <w:szCs w:val="24"/>
        </w:rPr>
        <w:footnoteReference w:id="129"/>
      </w:r>
      <w:r>
        <w:rPr>
          <w:rFonts w:ascii="Times New Roman" w:cs="Times New Roman" w:hAnsi="Times New Roman"/>
          <w:sz w:val="24"/>
          <w:szCs w:val="24"/>
        </w:rPr>
        <w:t xml:space="preserve"> In addition, it places responsibility on specified adults and institutions to supply the relevant information.</w:t>
      </w:r>
      <w:r>
        <w:rPr>
          <w:rStyle w:val="style38"/>
          <w:rFonts w:ascii="Times New Roman" w:cs="Times New Roman" w:hAnsi="Times New Roman"/>
          <w:sz w:val="24"/>
          <w:szCs w:val="24"/>
        </w:rPr>
        <w:footnoteReference w:id="130"/>
      </w:r>
      <w:r>
        <w:rPr>
          <w:rFonts w:ascii="Times New Roman" w:cs="Times New Roman" w:hAnsi="Times New Roman"/>
          <w:sz w:val="24"/>
          <w:szCs w:val="24"/>
        </w:rPr>
        <w:t xml:space="preserve"> In consequence, there would be administrative and legal difficulties where there is uncertainty about who the law treats as “father” or “mother.”</w:t>
      </w:r>
      <w:r>
        <w:rPr>
          <w:rStyle w:val="style38"/>
          <w:rFonts w:ascii="Times New Roman" w:cs="Times New Roman" w:hAnsi="Times New Roman"/>
          <w:sz w:val="24"/>
          <w:szCs w:val="24"/>
        </w:rPr>
        <w:footnoteReference w:id="131"/>
      </w:r>
    </w:p>
    <w:p w14:paraId="09CC17CC">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Critically, reproductive reality is no longer captured by the older common law assumption that motherhood is certain because it follows childbirth.</w:t>
      </w:r>
      <w:r>
        <w:rPr>
          <w:rStyle w:val="style38"/>
          <w:rFonts w:ascii="Times New Roman" w:cs="Times New Roman" w:hAnsi="Times New Roman"/>
          <w:sz w:val="24"/>
          <w:szCs w:val="24"/>
        </w:rPr>
        <w:footnoteReference w:id="132"/>
      </w:r>
      <w:r>
        <w:rPr>
          <w:rFonts w:ascii="Times New Roman" w:cs="Times New Roman" w:hAnsi="Times New Roman"/>
          <w:sz w:val="24"/>
          <w:szCs w:val="24"/>
        </w:rPr>
        <w:t xml:space="preserve"> It may still describe gestation.</w:t>
      </w:r>
      <w:r>
        <w:rPr>
          <w:rStyle w:val="style38"/>
          <w:rFonts w:ascii="Times New Roman" w:cs="Times New Roman" w:hAnsi="Times New Roman"/>
          <w:sz w:val="24"/>
          <w:szCs w:val="24"/>
        </w:rPr>
        <w:footnoteReference w:id="133"/>
      </w:r>
      <w:r>
        <w:rPr>
          <w:rFonts w:ascii="Times New Roman" w:cs="Times New Roman" w:hAnsi="Times New Roman"/>
          <w:sz w:val="24"/>
          <w:szCs w:val="24"/>
        </w:rPr>
        <w:t xml:space="preserve"> Nonetheless, it does not address whether the woman who gestated the pregnancy should be recognised as the legal mother when the embryo was formed using the intended mother’s egg or donor gametes as per a pre-conception agreement.</w:t>
      </w:r>
      <w:r>
        <w:rPr>
          <w:rStyle w:val="style38"/>
          <w:rFonts w:ascii="Times New Roman" w:cs="Times New Roman" w:hAnsi="Times New Roman"/>
          <w:sz w:val="24"/>
          <w:szCs w:val="24"/>
        </w:rPr>
        <w:footnoteReference w:id="134"/>
      </w:r>
      <w:r>
        <w:rPr>
          <w:rFonts w:ascii="Times New Roman" w:cs="Times New Roman" w:hAnsi="Times New Roman"/>
          <w:sz w:val="24"/>
          <w:szCs w:val="24"/>
        </w:rPr>
        <w:t xml:space="preserve"> Similarly, the assumption of fatherhood in marriage does not pertain to donor sperm, donor embryos, or the use of gametes after death.</w:t>
      </w:r>
      <w:r>
        <w:rPr>
          <w:rStyle w:val="style38"/>
          <w:rFonts w:ascii="Times New Roman" w:cs="Times New Roman" w:hAnsi="Times New Roman"/>
          <w:sz w:val="24"/>
          <w:szCs w:val="24"/>
        </w:rPr>
        <w:footnoteReference w:id="135"/>
      </w:r>
    </w:p>
    <w:bookmarkStart w:id="22" w:name="_Toc233678227"/>
    <w:p w14:paraId="68E26506">
      <w:pPr>
        <w:pStyle w:val="style2"/>
        <w:rPr/>
      </w:pPr>
      <w:r>
        <w:t>2.</w:t>
      </w:r>
      <w:r>
        <w:rPr>
          <w:lang w:val="en-US"/>
        </w:rPr>
        <w:t>2</w:t>
      </w:r>
      <w:r>
        <w:tab/>
      </w:r>
      <w:r>
        <w:t>Meaning and Nature of Assisted Reproductive Technology (ART)</w:t>
      </w:r>
      <w:bookmarkEnd w:id="22"/>
    </w:p>
    <w:p w14:paraId="6AA65D7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ART denotes medical methods employed to attain pregnancy by handling gametes, embryos, or reproductive processes outside ordinary sexual intercourse.</w:t>
      </w:r>
      <w:r>
        <w:rPr>
          <w:rStyle w:val="style38"/>
          <w:rFonts w:ascii="Times New Roman" w:cs="Times New Roman" w:hAnsi="Times New Roman"/>
          <w:sz w:val="24"/>
          <w:szCs w:val="24"/>
        </w:rPr>
        <w:footnoteReference w:id="136"/>
      </w:r>
      <w:r>
        <w:rPr>
          <w:rFonts w:ascii="Times New Roman" w:cs="Times New Roman" w:hAnsi="Times New Roman"/>
          <w:sz w:val="24"/>
          <w:szCs w:val="24"/>
        </w:rPr>
        <w:t xml:space="preserve"> It includes, among others, artificial insemination, IVF, intracytoplasmic sperm injection, gamete donation, embryo donation, embryo transfer, and cryopreservation.</w:t>
      </w:r>
      <w:r>
        <w:rPr>
          <w:rStyle w:val="style38"/>
          <w:rFonts w:ascii="Times New Roman" w:cs="Times New Roman" w:hAnsi="Times New Roman"/>
          <w:sz w:val="24"/>
          <w:szCs w:val="24"/>
        </w:rPr>
        <w:footnoteReference w:id="137"/>
      </w:r>
      <w:r>
        <w:rPr>
          <w:rFonts w:ascii="Times New Roman" w:cs="Times New Roman" w:hAnsi="Times New Roman"/>
          <w:sz w:val="24"/>
          <w:szCs w:val="24"/>
        </w:rPr>
        <w:t xml:space="preserve"> According</w:t>
      </w:r>
      <w:r>
        <w:rPr>
          <w:rFonts w:ascii="Times New Roman" w:cs="Times New Roman" w:hAnsi="Times New Roman"/>
          <w:sz w:val="24"/>
          <w:szCs w:val="24"/>
          <w:lang w:val="en-US"/>
        </w:rPr>
        <w:t xml:space="preserve"> to</w:t>
      </w:r>
      <w:r>
        <w:rPr>
          <w:rFonts w:ascii="Times New Roman" w:cs="Times New Roman" w:hAnsi="Times New Roman"/>
          <w:sz w:val="24"/>
          <w:szCs w:val="24"/>
        </w:rPr>
        <w:t xml:space="preserve"> WHO, infertility affects one in six people globally and this explains the growing demand for ART.</w:t>
      </w:r>
      <w:r>
        <w:rPr>
          <w:rStyle w:val="style38"/>
          <w:rFonts w:ascii="Times New Roman" w:cs="Times New Roman" w:hAnsi="Times New Roman"/>
          <w:sz w:val="24"/>
          <w:szCs w:val="24"/>
        </w:rPr>
        <w:footnoteReference w:id="138"/>
      </w:r>
      <w:r>
        <w:rPr>
          <w:rFonts w:ascii="Times New Roman" w:cs="Times New Roman" w:hAnsi="Times New Roman"/>
          <w:sz w:val="24"/>
          <w:szCs w:val="24"/>
        </w:rPr>
        <w:t xml:space="preserve"> In legal terms, ART is not just a therapeutic response to infertility.</w:t>
      </w:r>
      <w:r>
        <w:rPr>
          <w:rStyle w:val="style38"/>
          <w:rFonts w:ascii="Times New Roman" w:cs="Times New Roman" w:hAnsi="Times New Roman"/>
          <w:sz w:val="24"/>
          <w:szCs w:val="24"/>
        </w:rPr>
        <w:footnoteReference w:id="139"/>
      </w:r>
      <w:r>
        <w:rPr>
          <w:rFonts w:ascii="Times New Roman" w:cs="Times New Roman" w:hAnsi="Times New Roman"/>
          <w:sz w:val="24"/>
          <w:szCs w:val="24"/>
        </w:rPr>
        <w:t xml:space="preserve"> It is also a family-forming technology.</w:t>
      </w:r>
      <w:r>
        <w:rPr>
          <w:rStyle w:val="style38"/>
          <w:rFonts w:ascii="Times New Roman" w:cs="Times New Roman" w:hAnsi="Times New Roman"/>
          <w:sz w:val="24"/>
          <w:szCs w:val="24"/>
        </w:rPr>
        <w:footnoteReference w:id="140"/>
      </w:r>
      <w:r>
        <w:rPr>
          <w:rFonts w:ascii="Times New Roman" w:cs="Times New Roman" w:hAnsi="Times New Roman"/>
          <w:sz w:val="24"/>
          <w:szCs w:val="24"/>
        </w:rPr>
        <w:t xml:space="preserve"> It allows reproduction to be separated from sexual intercourse, and in many cases separated from cohabitation, gestation, or evencontemporaneous parenting.</w:t>
      </w:r>
      <w:r>
        <w:rPr>
          <w:rStyle w:val="style38"/>
          <w:rFonts w:ascii="Times New Roman" w:cs="Times New Roman" w:hAnsi="Times New Roman"/>
          <w:sz w:val="24"/>
          <w:szCs w:val="24"/>
        </w:rPr>
        <w:footnoteReference w:id="141"/>
      </w:r>
      <w:r>
        <w:rPr>
          <w:rFonts w:ascii="Times New Roman" w:cs="Times New Roman" w:hAnsi="Times New Roman"/>
          <w:sz w:val="24"/>
          <w:szCs w:val="24"/>
        </w:rPr>
        <w:t xml:space="preserve"> That capacity fundamentally alters the legal assumptions of family law.</w:t>
      </w:r>
      <w:r>
        <w:rPr>
          <w:rStyle w:val="style38"/>
          <w:rFonts w:ascii="Times New Roman" w:cs="Times New Roman" w:hAnsi="Times New Roman"/>
          <w:sz w:val="24"/>
          <w:szCs w:val="24"/>
        </w:rPr>
        <w:footnoteReference w:id="142"/>
      </w:r>
    </w:p>
    <w:p w14:paraId="6E0AC76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nature of ART is therefore both medical and juridical.</w:t>
      </w:r>
      <w:r>
        <w:rPr>
          <w:rStyle w:val="style38"/>
          <w:rFonts w:ascii="Times New Roman" w:cs="Times New Roman" w:hAnsi="Times New Roman"/>
          <w:sz w:val="24"/>
          <w:szCs w:val="24"/>
        </w:rPr>
        <w:footnoteReference w:id="143"/>
      </w:r>
      <w:r>
        <w:rPr>
          <w:rFonts w:ascii="Times New Roman" w:cs="Times New Roman" w:hAnsi="Times New Roman"/>
          <w:sz w:val="24"/>
          <w:szCs w:val="24"/>
        </w:rPr>
        <w:t xml:space="preserve"> Medically, it is a </w:t>
      </w:r>
      <w:r>
        <w:rPr>
          <w:rFonts w:ascii="Times New Roman" w:cs="Times New Roman" w:hAnsi="Times New Roman"/>
          <w:sz w:val="24"/>
          <w:szCs w:val="24"/>
          <w:lang w:val="en-US"/>
        </w:rPr>
        <w:t>specialized</w:t>
      </w:r>
      <w:r>
        <w:rPr>
          <w:rFonts w:ascii="Times New Roman" w:cs="Times New Roman" w:hAnsi="Times New Roman"/>
          <w:sz w:val="24"/>
          <w:szCs w:val="24"/>
        </w:rPr>
        <w:t xml:space="preserve"> reproductive intervention.</w:t>
      </w:r>
      <w:r>
        <w:rPr>
          <w:rStyle w:val="style38"/>
          <w:rFonts w:ascii="Times New Roman" w:cs="Times New Roman" w:hAnsi="Times New Roman"/>
          <w:sz w:val="24"/>
          <w:szCs w:val="24"/>
        </w:rPr>
        <w:footnoteReference w:id="144"/>
      </w:r>
      <w:r>
        <w:rPr>
          <w:rFonts w:ascii="Times New Roman" w:cs="Times New Roman" w:hAnsi="Times New Roman"/>
          <w:sz w:val="24"/>
          <w:szCs w:val="24"/>
        </w:rPr>
        <w:t xml:space="preserve"> Juridically, it rearranges the relationship among intention, biology, and legal status.</w:t>
      </w:r>
      <w:r>
        <w:rPr>
          <w:rStyle w:val="style38"/>
          <w:rFonts w:ascii="Times New Roman" w:cs="Times New Roman" w:hAnsi="Times New Roman"/>
          <w:sz w:val="24"/>
          <w:szCs w:val="24"/>
        </w:rPr>
        <w:footnoteReference w:id="145"/>
      </w:r>
      <w:r>
        <w:rPr>
          <w:rFonts w:ascii="Times New Roman" w:cs="Times New Roman" w:hAnsi="Times New Roman"/>
          <w:sz w:val="24"/>
          <w:szCs w:val="24"/>
        </w:rPr>
        <w:t xml:space="preserve"> A married couple may use IVF with their own gametes.</w:t>
      </w:r>
      <w:r>
        <w:rPr>
          <w:rStyle w:val="style38"/>
          <w:rFonts w:ascii="Times New Roman" w:cs="Times New Roman" w:hAnsi="Times New Roman"/>
          <w:sz w:val="24"/>
          <w:szCs w:val="24"/>
        </w:rPr>
        <w:footnoteReference w:id="146"/>
      </w:r>
      <w:r>
        <w:rPr>
          <w:rFonts w:ascii="Times New Roman" w:cs="Times New Roman" w:hAnsi="Times New Roman"/>
          <w:sz w:val="24"/>
          <w:szCs w:val="24"/>
        </w:rPr>
        <w:t xml:space="preserve"> A single person may use donor gametes.</w:t>
      </w:r>
      <w:r>
        <w:rPr>
          <w:rStyle w:val="style38"/>
          <w:rFonts w:ascii="Times New Roman" w:cs="Times New Roman" w:hAnsi="Times New Roman"/>
          <w:sz w:val="24"/>
          <w:szCs w:val="24"/>
        </w:rPr>
        <w:footnoteReference w:id="147"/>
      </w:r>
      <w:r>
        <w:rPr>
          <w:rFonts w:ascii="Times New Roman" w:cs="Times New Roman" w:hAnsi="Times New Roman"/>
          <w:sz w:val="24"/>
          <w:szCs w:val="24"/>
        </w:rPr>
        <w:t xml:space="preserve"> A same-sex couple or infertile couple may rely on surrogacy.</w:t>
      </w:r>
      <w:r>
        <w:rPr>
          <w:rStyle w:val="style38"/>
          <w:rFonts w:ascii="Times New Roman" w:cs="Times New Roman" w:hAnsi="Times New Roman"/>
          <w:sz w:val="24"/>
          <w:szCs w:val="24"/>
        </w:rPr>
        <w:footnoteReference w:id="148"/>
      </w:r>
      <w:r>
        <w:rPr>
          <w:rFonts w:ascii="Times New Roman" w:cs="Times New Roman" w:hAnsi="Times New Roman"/>
          <w:sz w:val="24"/>
          <w:szCs w:val="24"/>
        </w:rPr>
        <w:t xml:space="preserve"> Embryos may be frozen and used later.</w:t>
      </w:r>
      <w:r>
        <w:rPr>
          <w:rStyle w:val="style38"/>
          <w:rFonts w:ascii="Times New Roman" w:cs="Times New Roman" w:hAnsi="Times New Roman"/>
          <w:sz w:val="24"/>
          <w:szCs w:val="24"/>
        </w:rPr>
        <w:footnoteReference w:id="149"/>
      </w:r>
      <w:r>
        <w:rPr>
          <w:rFonts w:ascii="Times New Roman" w:cs="Times New Roman" w:hAnsi="Times New Roman"/>
          <w:sz w:val="24"/>
          <w:szCs w:val="24"/>
        </w:rPr>
        <w:t xml:space="preserve"> A reproductive material may be used across borders.</w:t>
      </w:r>
      <w:r>
        <w:rPr>
          <w:rStyle w:val="style38"/>
          <w:rFonts w:ascii="Times New Roman" w:cs="Times New Roman" w:hAnsi="Times New Roman"/>
          <w:sz w:val="24"/>
          <w:szCs w:val="24"/>
        </w:rPr>
        <w:footnoteReference w:id="150"/>
      </w:r>
      <w:r>
        <w:rPr>
          <w:rFonts w:ascii="Times New Roman" w:cs="Times New Roman" w:hAnsi="Times New Roman"/>
          <w:sz w:val="24"/>
          <w:szCs w:val="24"/>
        </w:rPr>
        <w:t xml:space="preserve"> Indeed there are several possibilities and this generates legal questions concerning consent, parentage, anonymity, confidentiality, record-keeping, succession, and dispute resolution.</w:t>
      </w:r>
      <w:r>
        <w:rPr>
          <w:rStyle w:val="style38"/>
          <w:rFonts w:ascii="Times New Roman" w:cs="Times New Roman" w:hAnsi="Times New Roman"/>
          <w:sz w:val="24"/>
          <w:szCs w:val="24"/>
        </w:rPr>
        <w:footnoteReference w:id="151"/>
      </w:r>
      <w:r>
        <w:rPr>
          <w:rFonts w:ascii="Times New Roman" w:cs="Times New Roman" w:hAnsi="Times New Roman"/>
          <w:sz w:val="24"/>
          <w:szCs w:val="24"/>
        </w:rPr>
        <w:t xml:space="preserve"> Fiebai and Kinikanwo</w:t>
      </w:r>
      <w:r>
        <w:rPr>
          <w:rStyle w:val="style38"/>
          <w:rFonts w:ascii="Times New Roman" w:cs="Times New Roman" w:hAnsi="Times New Roman"/>
          <w:sz w:val="24"/>
          <w:szCs w:val="24"/>
        </w:rPr>
        <w:footnoteReference w:id="152"/>
      </w:r>
      <w:r>
        <w:rPr>
          <w:rFonts w:ascii="Times New Roman" w:cs="Times New Roman" w:hAnsi="Times New Roman"/>
          <w:sz w:val="24"/>
          <w:szCs w:val="24"/>
        </w:rPr>
        <w:t xml:space="preserve"> ha</w:t>
      </w:r>
      <w:r>
        <w:rPr>
          <w:rFonts w:ascii="Times New Roman" w:cs="Times New Roman" w:hAnsi="Times New Roman"/>
          <w:sz w:val="24"/>
          <w:szCs w:val="24"/>
          <w:lang w:val="en-US"/>
        </w:rPr>
        <w:t>ve</w:t>
      </w:r>
      <w:r>
        <w:rPr>
          <w:rFonts w:ascii="Times New Roman" w:cs="Times New Roman" w:hAnsi="Times New Roman"/>
          <w:sz w:val="24"/>
          <w:szCs w:val="24"/>
        </w:rPr>
        <w:t xml:space="preserve"> noted thatNigeria lacks a comprehensive federal regulatory framework. This leaves much to professional guidance, private contract, or state-level initiatives.</w:t>
      </w:r>
      <w:r>
        <w:rPr>
          <w:rStyle w:val="style38"/>
          <w:rFonts w:ascii="Times New Roman" w:cs="Times New Roman" w:hAnsi="Times New Roman"/>
          <w:sz w:val="24"/>
          <w:szCs w:val="24"/>
        </w:rPr>
        <w:footnoteReference w:id="153"/>
      </w:r>
      <w:r>
        <w:rPr>
          <w:rFonts w:ascii="Times New Roman" w:cs="Times New Roman" w:hAnsi="Times New Roman"/>
          <w:sz w:val="24"/>
          <w:szCs w:val="24"/>
        </w:rPr>
        <w:t xml:space="preserve"> Indeed, the technology for ART has become available widely.</w:t>
      </w:r>
      <w:r>
        <w:rPr>
          <w:rStyle w:val="style38"/>
          <w:rFonts w:ascii="Times New Roman" w:cs="Times New Roman" w:hAnsi="Times New Roman"/>
          <w:sz w:val="24"/>
          <w:szCs w:val="24"/>
        </w:rPr>
        <w:footnoteReference w:id="154"/>
      </w:r>
      <w:r>
        <w:rPr>
          <w:rFonts w:ascii="Times New Roman" w:cs="Times New Roman" w:hAnsi="Times New Roman"/>
          <w:sz w:val="24"/>
          <w:szCs w:val="24"/>
        </w:rPr>
        <w:t xml:space="preserve"> However, the legal system has not matched its complexity.</w:t>
      </w:r>
      <w:r>
        <w:rPr>
          <w:rStyle w:val="style38"/>
          <w:rFonts w:ascii="Times New Roman" w:cs="Times New Roman" w:hAnsi="Times New Roman"/>
          <w:sz w:val="24"/>
          <w:szCs w:val="24"/>
        </w:rPr>
        <w:footnoteReference w:id="155"/>
      </w:r>
    </w:p>
    <w:p w14:paraId="4FD5E683">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Going further, Fertility </w:t>
      </w:r>
      <w:r>
        <w:rPr>
          <w:rFonts w:ascii="Times New Roman" w:cs="Times New Roman" w:hAnsi="Times New Roman"/>
          <w:sz w:val="24"/>
          <w:szCs w:val="24"/>
          <w:lang w:val="en-US"/>
        </w:rPr>
        <w:t xml:space="preserve">clinic </w:t>
      </w:r>
      <w:r>
        <w:rPr>
          <w:rFonts w:ascii="Times New Roman" w:cs="Times New Roman" w:hAnsi="Times New Roman"/>
          <w:sz w:val="24"/>
          <w:szCs w:val="24"/>
        </w:rPr>
        <w:t>in Nigeria still operates without a comprehensive federal statute.</w:t>
      </w:r>
      <w:r>
        <w:rPr>
          <w:rStyle w:val="style38"/>
          <w:rFonts w:ascii="Times New Roman" w:cs="Times New Roman" w:hAnsi="Times New Roman"/>
          <w:sz w:val="24"/>
          <w:szCs w:val="24"/>
        </w:rPr>
        <w:footnoteReference w:id="156"/>
      </w:r>
      <w:r>
        <w:rPr>
          <w:rFonts w:ascii="Times New Roman" w:cs="Times New Roman" w:hAnsi="Times New Roman"/>
          <w:sz w:val="24"/>
          <w:szCs w:val="24"/>
        </w:rPr>
        <w:t xml:space="preserve"> Lagos State’s 2019 ART Practice Regulations and Guidelines were </w:t>
      </w:r>
      <w:r>
        <w:rPr>
          <w:rFonts w:ascii="Times New Roman" w:cs="Times New Roman" w:hAnsi="Times New Roman"/>
          <w:sz w:val="24"/>
          <w:szCs w:val="24"/>
          <w:lang w:val="en-US"/>
        </w:rPr>
        <w:t>sub-national</w:t>
      </w:r>
      <w:r>
        <w:rPr>
          <w:rFonts w:ascii="Times New Roman" w:cs="Times New Roman" w:hAnsi="Times New Roman"/>
          <w:sz w:val="24"/>
          <w:szCs w:val="24"/>
        </w:rPr>
        <w:t xml:space="preserve"> attempt to improve oversight and compulsory registration of providers.</w:t>
      </w:r>
      <w:r>
        <w:rPr>
          <w:rStyle w:val="style38"/>
          <w:rFonts w:ascii="Times New Roman" w:cs="Times New Roman" w:hAnsi="Times New Roman"/>
          <w:sz w:val="24"/>
          <w:szCs w:val="24"/>
        </w:rPr>
        <w:footnoteReference w:id="157"/>
      </w:r>
      <w:r>
        <w:rPr>
          <w:rFonts w:ascii="Times New Roman" w:cs="Times New Roman" w:hAnsi="Times New Roman"/>
          <w:sz w:val="24"/>
          <w:szCs w:val="24"/>
        </w:rPr>
        <w:t xml:space="preserve"> However, they remain limited in territorial scope and they cannot substitute for a national legal framework.</w:t>
      </w:r>
      <w:r>
        <w:rPr>
          <w:rStyle w:val="style38"/>
          <w:rFonts w:ascii="Times New Roman" w:cs="Times New Roman" w:hAnsi="Times New Roman"/>
          <w:sz w:val="24"/>
          <w:szCs w:val="24"/>
        </w:rPr>
        <w:footnoteReference w:id="158"/>
      </w:r>
      <w:r>
        <w:rPr>
          <w:rFonts w:ascii="Times New Roman" w:cs="Times New Roman" w:hAnsi="Times New Roman"/>
          <w:sz w:val="24"/>
          <w:szCs w:val="24"/>
        </w:rPr>
        <w:t xml:space="preserve"> In essence, sophisticated procedures are available.</w:t>
      </w:r>
      <w:r>
        <w:rPr>
          <w:rStyle w:val="style38"/>
          <w:rFonts w:ascii="Times New Roman" w:cs="Times New Roman" w:hAnsi="Times New Roman"/>
          <w:sz w:val="24"/>
          <w:szCs w:val="24"/>
        </w:rPr>
        <w:footnoteReference w:id="159"/>
      </w:r>
      <w:r>
        <w:rPr>
          <w:rFonts w:ascii="Times New Roman" w:cs="Times New Roman" w:hAnsi="Times New Roman"/>
          <w:sz w:val="24"/>
          <w:szCs w:val="24"/>
        </w:rPr>
        <w:t xml:space="preserve"> Yet, the legal incidents of those procedures remain uncertain.</w:t>
      </w:r>
      <w:r>
        <w:rPr>
          <w:rStyle w:val="style38"/>
          <w:rFonts w:ascii="Times New Roman" w:cs="Times New Roman" w:hAnsi="Times New Roman"/>
          <w:sz w:val="24"/>
          <w:szCs w:val="24"/>
        </w:rPr>
        <w:footnoteReference w:id="160"/>
      </w:r>
      <w:r>
        <w:rPr>
          <w:rFonts w:ascii="Times New Roman" w:cs="Times New Roman" w:hAnsi="Times New Roman"/>
          <w:sz w:val="24"/>
          <w:szCs w:val="24"/>
        </w:rPr>
        <w:t xml:space="preserve"> This is one reason scholarship continues to call for clearer federal legislation and institutional regulation.</w:t>
      </w:r>
      <w:r>
        <w:rPr>
          <w:rStyle w:val="style38"/>
          <w:rFonts w:ascii="Times New Roman" w:cs="Times New Roman" w:hAnsi="Times New Roman"/>
          <w:sz w:val="24"/>
          <w:szCs w:val="24"/>
        </w:rPr>
        <w:footnoteReference w:id="161"/>
      </w:r>
    </w:p>
    <w:p w14:paraId="0C72111B">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A critical characteristic of ART is that it decouples reproduction from one or more of the “natural” markers that family law once treated as conclusive.</w:t>
      </w:r>
      <w:r>
        <w:rPr>
          <w:rStyle w:val="style38"/>
          <w:rFonts w:ascii="Times New Roman" w:cs="Times New Roman" w:hAnsi="Times New Roman"/>
          <w:sz w:val="24"/>
          <w:szCs w:val="24"/>
        </w:rPr>
        <w:footnoteReference w:id="162"/>
      </w:r>
      <w:r>
        <w:rPr>
          <w:rFonts w:ascii="Times New Roman" w:cs="Times New Roman" w:hAnsi="Times New Roman"/>
          <w:sz w:val="24"/>
          <w:szCs w:val="24"/>
        </w:rPr>
        <w:t xml:space="preserve"> Firstly, genetic motherhood may differ from gestational motherhood.</w:t>
      </w:r>
      <w:r>
        <w:rPr>
          <w:rStyle w:val="style38"/>
          <w:rFonts w:ascii="Times New Roman" w:cs="Times New Roman" w:hAnsi="Times New Roman"/>
          <w:sz w:val="24"/>
          <w:szCs w:val="24"/>
        </w:rPr>
        <w:footnoteReference w:id="163"/>
      </w:r>
      <w:r>
        <w:rPr>
          <w:rFonts w:ascii="Times New Roman" w:cs="Times New Roman" w:hAnsi="Times New Roman"/>
          <w:sz w:val="24"/>
          <w:szCs w:val="24"/>
        </w:rPr>
        <w:t xml:space="preserve"> Secondly, legal fatherhood may differ from genetic fatherhood.</w:t>
      </w:r>
      <w:r>
        <w:rPr>
          <w:rStyle w:val="style38"/>
          <w:rFonts w:ascii="Times New Roman" w:cs="Times New Roman" w:hAnsi="Times New Roman"/>
          <w:sz w:val="24"/>
          <w:szCs w:val="24"/>
        </w:rPr>
        <w:footnoteReference w:id="164"/>
      </w:r>
      <w:r>
        <w:rPr>
          <w:rFonts w:ascii="Times New Roman" w:cs="Times New Roman" w:hAnsi="Times New Roman"/>
          <w:sz w:val="24"/>
          <w:szCs w:val="24"/>
        </w:rPr>
        <w:t xml:space="preserve"> Thirdly, intention may become the most stable indicator of social and legal responsibility.</w:t>
      </w:r>
      <w:r>
        <w:rPr>
          <w:rStyle w:val="style38"/>
          <w:rFonts w:ascii="Times New Roman" w:cs="Times New Roman" w:hAnsi="Times New Roman"/>
          <w:sz w:val="24"/>
          <w:szCs w:val="24"/>
        </w:rPr>
        <w:footnoteReference w:id="165"/>
      </w:r>
      <w:r>
        <w:rPr>
          <w:rFonts w:ascii="Times New Roman" w:cs="Times New Roman" w:hAnsi="Times New Roman"/>
          <w:sz w:val="24"/>
          <w:szCs w:val="24"/>
        </w:rPr>
        <w:t xml:space="preserve"> Fourthly, the timeline of conception, implantation, birth, and parentage may stretch over months or years, especially where embryos are frozen.</w:t>
      </w:r>
      <w:r>
        <w:rPr>
          <w:rStyle w:val="style38"/>
          <w:rFonts w:ascii="Times New Roman" w:cs="Times New Roman" w:hAnsi="Times New Roman"/>
          <w:sz w:val="24"/>
          <w:szCs w:val="24"/>
        </w:rPr>
        <w:footnoteReference w:id="166"/>
      </w:r>
      <w:r>
        <w:rPr>
          <w:rFonts w:ascii="Times New Roman" w:cs="Times New Roman" w:hAnsi="Times New Roman"/>
          <w:sz w:val="24"/>
          <w:szCs w:val="24"/>
        </w:rPr>
        <w:t xml:space="preserve"> In that respect, ART challenges outdated rules as well as simplistic claims that biology always settles legal parentage.</w:t>
      </w:r>
      <w:r>
        <w:rPr>
          <w:rStyle w:val="style38"/>
          <w:rFonts w:ascii="Times New Roman" w:cs="Times New Roman" w:hAnsi="Times New Roman"/>
          <w:sz w:val="24"/>
          <w:szCs w:val="24"/>
        </w:rPr>
        <w:footnoteReference w:id="167"/>
      </w:r>
    </w:p>
    <w:p w14:paraId="4F4CC3D2">
      <w:pPr>
        <w:pStyle w:val="style0"/>
        <w:spacing w:lineRule="auto" w:line="480"/>
        <w:jc w:val="both"/>
        <w:rPr>
          <w:rFonts w:ascii="Times New Roman" w:cs="Times New Roman" w:hAnsi="Times New Roman"/>
          <w:sz w:val="24"/>
          <w:szCs w:val="24"/>
        </w:rPr>
      </w:pPr>
    </w:p>
    <w:p w14:paraId="677A4E10">
      <w:pPr>
        <w:pStyle w:val="style0"/>
        <w:spacing w:lineRule="auto" w:line="480"/>
        <w:jc w:val="both"/>
        <w:rPr>
          <w:rFonts w:ascii="Times New Roman" w:cs="Times New Roman" w:hAnsi="Times New Roman"/>
          <w:sz w:val="24"/>
          <w:szCs w:val="24"/>
        </w:rPr>
      </w:pPr>
    </w:p>
    <w:bookmarkStart w:id="23" w:name="_Toc233678228"/>
    <w:p w14:paraId="57741971">
      <w:pPr>
        <w:pStyle w:val="style2"/>
        <w:rPr/>
      </w:pPr>
      <w:r>
        <w:t>2.3 Forms of Assisted Reproductive Technology</w:t>
      </w:r>
      <w:bookmarkEnd w:id="23"/>
    </w:p>
    <w:p w14:paraId="2A73E4E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ART is not a single technique but a cluster of methods.</w:t>
      </w:r>
      <w:r>
        <w:rPr>
          <w:rStyle w:val="style38"/>
          <w:rFonts w:ascii="Times New Roman" w:cs="Times New Roman" w:hAnsi="Times New Roman"/>
          <w:sz w:val="24"/>
          <w:szCs w:val="24"/>
        </w:rPr>
        <w:footnoteReference w:id="168"/>
      </w:r>
      <w:r>
        <w:rPr>
          <w:rFonts w:ascii="Times New Roman" w:cs="Times New Roman" w:hAnsi="Times New Roman"/>
          <w:sz w:val="24"/>
          <w:szCs w:val="24"/>
        </w:rPr>
        <w:t xml:space="preserve"> The legal implications vary because each method distributes reproductive contribution differently.</w:t>
      </w:r>
      <w:r>
        <w:rPr>
          <w:rStyle w:val="style38"/>
          <w:rFonts w:ascii="Times New Roman" w:cs="Times New Roman" w:hAnsi="Times New Roman"/>
          <w:sz w:val="24"/>
          <w:szCs w:val="24"/>
        </w:rPr>
        <w:footnoteReference w:id="169"/>
      </w:r>
    </w:p>
    <w:bookmarkStart w:id="24" w:name="_Toc233678229"/>
    <w:p w14:paraId="1182AB8B">
      <w:pPr>
        <w:pStyle w:val="style3"/>
        <w:rPr/>
      </w:pPr>
      <w:r>
        <w:t xml:space="preserve">2.3.1 </w:t>
      </w:r>
      <w:r>
        <w:tab/>
      </w:r>
      <w:r>
        <w:t>Artificial Insemination</w:t>
      </w:r>
      <w:bookmarkEnd w:id="24"/>
    </w:p>
    <w:p w14:paraId="53849921">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Artificial insemination consists of introducing sperm into a female's reproductive system by medical or technical means rather than through sexual intercourse.</w:t>
      </w:r>
      <w:r>
        <w:rPr>
          <w:rStyle w:val="style38"/>
          <w:rFonts w:ascii="Times New Roman" w:cs="Times New Roman" w:hAnsi="Times New Roman"/>
          <w:sz w:val="24"/>
          <w:szCs w:val="24"/>
        </w:rPr>
        <w:footnoteReference w:id="170"/>
      </w:r>
      <w:r>
        <w:rPr>
          <w:rFonts w:ascii="Times New Roman" w:cs="Times New Roman" w:hAnsi="Times New Roman"/>
          <w:sz w:val="24"/>
          <w:szCs w:val="24"/>
        </w:rPr>
        <w:t xml:space="preserve"> The sperm may originate from the husband, partner, or a donor.</w:t>
      </w:r>
      <w:r>
        <w:rPr>
          <w:rStyle w:val="style38"/>
          <w:rFonts w:ascii="Times New Roman" w:cs="Times New Roman" w:hAnsi="Times New Roman"/>
          <w:sz w:val="24"/>
          <w:szCs w:val="24"/>
        </w:rPr>
        <w:footnoteReference w:id="171"/>
      </w:r>
      <w:r>
        <w:rPr>
          <w:rFonts w:ascii="Times New Roman" w:cs="Times New Roman" w:hAnsi="Times New Roman"/>
          <w:sz w:val="24"/>
          <w:szCs w:val="24"/>
        </w:rPr>
        <w:t xml:space="preserve"> Legally, difficulties are fewer where the husband’s sperm is used.</w:t>
      </w:r>
      <w:r>
        <w:rPr>
          <w:rStyle w:val="style38"/>
          <w:rFonts w:ascii="Times New Roman" w:cs="Times New Roman" w:hAnsi="Times New Roman"/>
          <w:sz w:val="24"/>
          <w:szCs w:val="24"/>
        </w:rPr>
        <w:footnoteReference w:id="172"/>
      </w:r>
      <w:r>
        <w:rPr>
          <w:rFonts w:ascii="Times New Roman" w:cs="Times New Roman" w:hAnsi="Times New Roman"/>
          <w:sz w:val="24"/>
          <w:szCs w:val="24"/>
        </w:rPr>
        <w:t xml:space="preserve"> This is because biology and intention may converge.</w:t>
      </w:r>
      <w:r>
        <w:rPr>
          <w:rStyle w:val="style38"/>
          <w:rFonts w:ascii="Times New Roman" w:cs="Times New Roman" w:hAnsi="Times New Roman"/>
          <w:sz w:val="24"/>
          <w:szCs w:val="24"/>
        </w:rPr>
        <w:footnoteReference w:id="173"/>
      </w:r>
      <w:r>
        <w:rPr>
          <w:rFonts w:ascii="Times New Roman" w:cs="Times New Roman" w:hAnsi="Times New Roman"/>
          <w:sz w:val="24"/>
          <w:szCs w:val="24"/>
        </w:rPr>
        <w:t xml:space="preserve"> However, where donor sperm is used, questions arise over paternity and intention.</w:t>
      </w:r>
      <w:r>
        <w:rPr>
          <w:rStyle w:val="style38"/>
          <w:rFonts w:ascii="Times New Roman" w:cs="Times New Roman" w:hAnsi="Times New Roman"/>
          <w:sz w:val="24"/>
          <w:szCs w:val="24"/>
        </w:rPr>
        <w:footnoteReference w:id="174"/>
      </w:r>
      <w:r>
        <w:rPr>
          <w:rFonts w:ascii="Times New Roman" w:cs="Times New Roman" w:hAnsi="Times New Roman"/>
          <w:sz w:val="24"/>
          <w:szCs w:val="24"/>
        </w:rPr>
        <w:t xml:space="preserve"> The law must decide whether the donor is a genetic contributor or a legal father.</w:t>
      </w:r>
      <w:r>
        <w:rPr>
          <w:rStyle w:val="style38"/>
          <w:rFonts w:ascii="Times New Roman" w:cs="Times New Roman" w:hAnsi="Times New Roman"/>
          <w:sz w:val="24"/>
          <w:szCs w:val="24"/>
        </w:rPr>
        <w:footnoteReference w:id="175"/>
      </w:r>
      <w:r>
        <w:rPr>
          <w:rFonts w:ascii="Times New Roman" w:cs="Times New Roman" w:hAnsi="Times New Roman"/>
          <w:sz w:val="24"/>
          <w:szCs w:val="24"/>
        </w:rPr>
        <w:t xml:space="preserve"> It must also determine if the spouse who agreed to the procedure should be recognised as the legal parent, despite lacking a genetic link.</w:t>
      </w:r>
      <w:r>
        <w:rPr>
          <w:rStyle w:val="style38"/>
          <w:rFonts w:ascii="Times New Roman" w:cs="Times New Roman" w:hAnsi="Times New Roman"/>
          <w:sz w:val="24"/>
          <w:szCs w:val="24"/>
        </w:rPr>
        <w:footnoteReference w:id="176"/>
      </w:r>
    </w:p>
    <w:bookmarkStart w:id="25" w:name="_Toc233678230"/>
    <w:p w14:paraId="3A7DDC98">
      <w:pPr>
        <w:pStyle w:val="style3"/>
        <w:rPr/>
      </w:pPr>
      <w:r>
        <w:t>2.3.</w:t>
      </w:r>
      <w:r>
        <w:rPr>
          <w:lang w:val="en-US"/>
        </w:rPr>
        <w:t>2</w:t>
      </w:r>
      <w:r>
        <w:tab/>
      </w:r>
      <w:r>
        <w:t xml:space="preserve">In Vitro </w:t>
      </w:r>
      <w:r>
        <w:rPr>
          <w:lang w:val="en-US"/>
        </w:rPr>
        <w:t>Fertilization</w:t>
      </w:r>
      <w:r>
        <w:t xml:space="preserve"> (IVF)</w:t>
      </w:r>
      <w:bookmarkEnd w:id="25"/>
    </w:p>
    <w:p w14:paraId="3946328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IVF consists of the process of fertilising an egg externally and then placing the embryo into a womb. IVF makes gestational surrogacy possible.</w:t>
      </w:r>
      <w:r>
        <w:rPr>
          <w:rStyle w:val="style38"/>
          <w:rFonts w:ascii="Times New Roman" w:cs="Times New Roman" w:hAnsi="Times New Roman"/>
          <w:sz w:val="24"/>
          <w:szCs w:val="24"/>
        </w:rPr>
        <w:footnoteReference w:id="177"/>
      </w:r>
      <w:r>
        <w:rPr>
          <w:rFonts w:ascii="Times New Roman" w:cs="Times New Roman" w:hAnsi="Times New Roman"/>
          <w:sz w:val="24"/>
          <w:szCs w:val="24"/>
        </w:rPr>
        <w:t xml:space="preserve"> But even outside surrogacy, IVF raises questions about unused embryos, posthumous reproduction, divorce during fertility treatment, and the status of stored embryos.</w:t>
      </w:r>
      <w:r>
        <w:rPr>
          <w:rStyle w:val="style38"/>
          <w:rFonts w:ascii="Times New Roman" w:cs="Times New Roman" w:hAnsi="Times New Roman"/>
          <w:sz w:val="24"/>
          <w:szCs w:val="24"/>
        </w:rPr>
        <w:footnoteReference w:id="178"/>
      </w:r>
      <w:r>
        <w:rPr>
          <w:rFonts w:ascii="Times New Roman" w:cs="Times New Roman" w:hAnsi="Times New Roman"/>
          <w:sz w:val="24"/>
          <w:szCs w:val="24"/>
        </w:rPr>
        <w:t xml:space="preserve"> Fiebai and Kinikanwo</w:t>
      </w:r>
      <w:r>
        <w:rPr>
          <w:rStyle w:val="style38"/>
          <w:rFonts w:ascii="Times New Roman" w:cs="Times New Roman" w:hAnsi="Times New Roman"/>
          <w:sz w:val="24"/>
          <w:szCs w:val="24"/>
        </w:rPr>
        <w:footnoteReference w:id="179"/>
      </w:r>
      <w:r>
        <w:rPr>
          <w:rFonts w:ascii="Times New Roman" w:cs="Times New Roman" w:hAnsi="Times New Roman"/>
          <w:sz w:val="24"/>
          <w:szCs w:val="24"/>
        </w:rPr>
        <w:t xml:space="preserve"> has </w:t>
      </w:r>
      <w:r>
        <w:rPr>
          <w:rFonts w:ascii="Times New Roman" w:cs="Times New Roman" w:hAnsi="Times New Roman"/>
          <w:sz w:val="24"/>
          <w:szCs w:val="24"/>
          <w:lang w:val="en-US"/>
        </w:rPr>
        <w:t>emphasized</w:t>
      </w:r>
      <w:r>
        <w:rPr>
          <w:rFonts w:ascii="Times New Roman" w:cs="Times New Roman" w:hAnsi="Times New Roman"/>
          <w:sz w:val="24"/>
          <w:szCs w:val="24"/>
        </w:rPr>
        <w:t xml:space="preserve"> that there is no national statute for ART in Nigeria. In effect, this leaves clinics and intended parents to navigate these issues by private agreement and professional guidance.</w:t>
      </w:r>
      <w:r>
        <w:rPr>
          <w:rStyle w:val="style38"/>
          <w:rFonts w:ascii="Times New Roman" w:cs="Times New Roman" w:hAnsi="Times New Roman"/>
          <w:sz w:val="24"/>
          <w:szCs w:val="24"/>
        </w:rPr>
        <w:footnoteReference w:id="180"/>
      </w:r>
    </w:p>
    <w:bookmarkStart w:id="26" w:name="_Toc233678231"/>
    <w:p w14:paraId="0C4B3FB5">
      <w:pPr>
        <w:pStyle w:val="style3"/>
        <w:rPr/>
      </w:pPr>
      <w:r>
        <w:t>2.</w:t>
      </w:r>
      <w:r>
        <w:rPr>
          <w:lang w:val="en-US"/>
        </w:rPr>
        <w:t>3</w:t>
      </w:r>
      <w:r>
        <w:t xml:space="preserve">.3 </w:t>
      </w:r>
      <w:r>
        <w:tab/>
      </w:r>
      <w:r>
        <w:t>Egg Donation</w:t>
      </w:r>
      <w:bookmarkEnd w:id="26"/>
    </w:p>
    <w:p w14:paraId="6A986EA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Egg donation occurs where a woman provides</w:t>
      </w:r>
      <w:r>
        <w:rPr>
          <w:rFonts w:ascii="Times New Roman" w:cs="Times New Roman" w:hAnsi="Times New Roman"/>
          <w:sz w:val="24"/>
          <w:szCs w:val="24"/>
          <w:lang w:val="en-US"/>
        </w:rPr>
        <w:t xml:space="preserve"> ova (or eggs)</w:t>
      </w:r>
      <w:r>
        <w:rPr>
          <w:rFonts w:ascii="Times New Roman" w:cs="Times New Roman" w:hAnsi="Times New Roman"/>
          <w:sz w:val="24"/>
          <w:szCs w:val="24"/>
        </w:rPr>
        <w:t xml:space="preserve"> for use by another person or couple.</w:t>
      </w:r>
      <w:r>
        <w:rPr>
          <w:rStyle w:val="style38"/>
          <w:rFonts w:ascii="Times New Roman" w:cs="Times New Roman" w:hAnsi="Times New Roman"/>
          <w:sz w:val="24"/>
          <w:szCs w:val="24"/>
        </w:rPr>
        <w:footnoteReference w:id="181"/>
      </w:r>
      <w:r>
        <w:rPr>
          <w:rFonts w:ascii="Times New Roman" w:cs="Times New Roman" w:hAnsi="Times New Roman"/>
          <w:sz w:val="24"/>
          <w:szCs w:val="24"/>
        </w:rPr>
        <w:t xml:space="preserve"> This separates genetic motherhood from gestational motherhood.</w:t>
      </w:r>
      <w:r>
        <w:rPr>
          <w:rStyle w:val="style38"/>
          <w:rFonts w:ascii="Times New Roman" w:cs="Times New Roman" w:hAnsi="Times New Roman"/>
          <w:sz w:val="24"/>
          <w:szCs w:val="24"/>
        </w:rPr>
        <w:footnoteReference w:id="182"/>
      </w:r>
      <w:r>
        <w:rPr>
          <w:rFonts w:ascii="Times New Roman" w:cs="Times New Roman" w:hAnsi="Times New Roman"/>
          <w:sz w:val="24"/>
          <w:szCs w:val="24"/>
        </w:rPr>
        <w:t xml:space="preserve"> Ultimately, it remains unclear which woman should be favoured by the law: the one who provided the ovum, the one who gestated the pregnancy, or the one who plans to nurture the child?</w:t>
      </w:r>
      <w:r>
        <w:rPr>
          <w:rStyle w:val="style38"/>
          <w:rFonts w:ascii="Times New Roman" w:cs="Times New Roman" w:hAnsi="Times New Roman"/>
          <w:sz w:val="24"/>
          <w:szCs w:val="24"/>
        </w:rPr>
        <w:footnoteReference w:id="183"/>
      </w:r>
      <w:r>
        <w:rPr>
          <w:rFonts w:ascii="Times New Roman" w:cs="Times New Roman" w:hAnsi="Times New Roman"/>
          <w:sz w:val="24"/>
          <w:szCs w:val="24"/>
        </w:rPr>
        <w:t xml:space="preserve"> In an unregulated system, the answer may fluctuate according to context.</w:t>
      </w:r>
      <w:r>
        <w:rPr>
          <w:rStyle w:val="style38"/>
          <w:rFonts w:ascii="Times New Roman" w:cs="Times New Roman" w:hAnsi="Times New Roman"/>
          <w:sz w:val="24"/>
          <w:szCs w:val="24"/>
        </w:rPr>
        <w:footnoteReference w:id="184"/>
      </w:r>
      <w:r>
        <w:rPr>
          <w:rFonts w:ascii="Times New Roman" w:cs="Times New Roman" w:hAnsi="Times New Roman"/>
          <w:sz w:val="24"/>
          <w:szCs w:val="24"/>
        </w:rPr>
        <w:t xml:space="preserve"> A rigid genetic approach is attractive because it appears scientific.</w:t>
      </w:r>
      <w:r>
        <w:rPr>
          <w:rStyle w:val="style38"/>
          <w:rFonts w:ascii="Times New Roman" w:cs="Times New Roman" w:hAnsi="Times New Roman"/>
          <w:sz w:val="24"/>
          <w:szCs w:val="24"/>
        </w:rPr>
        <w:footnoteReference w:id="185"/>
      </w:r>
      <w:r>
        <w:rPr>
          <w:rFonts w:ascii="Times New Roman" w:cs="Times New Roman" w:hAnsi="Times New Roman"/>
          <w:sz w:val="24"/>
          <w:szCs w:val="24"/>
        </w:rPr>
        <w:t xml:space="preserve"> However, it may undermine the intending parent who commissioned treatment and assumes lifelong responsibility.</w:t>
      </w:r>
      <w:r>
        <w:rPr>
          <w:rStyle w:val="style38"/>
          <w:rFonts w:ascii="Times New Roman" w:cs="Times New Roman" w:hAnsi="Times New Roman"/>
          <w:sz w:val="24"/>
          <w:szCs w:val="24"/>
        </w:rPr>
        <w:footnoteReference w:id="186"/>
      </w:r>
      <w:r>
        <w:rPr>
          <w:rFonts w:ascii="Times New Roman" w:cs="Times New Roman" w:hAnsi="Times New Roman"/>
          <w:sz w:val="24"/>
          <w:szCs w:val="24"/>
        </w:rPr>
        <w:t xml:space="preserve"> A rigid gestational approach is equally problematic where the carrier never intended to parent.</w:t>
      </w:r>
      <w:r>
        <w:rPr>
          <w:rStyle w:val="style38"/>
          <w:rFonts w:ascii="Times New Roman" w:cs="Times New Roman" w:hAnsi="Times New Roman"/>
          <w:sz w:val="24"/>
          <w:szCs w:val="24"/>
        </w:rPr>
        <w:footnoteReference w:id="187"/>
      </w:r>
      <w:r>
        <w:rPr>
          <w:rFonts w:ascii="Times New Roman" w:cs="Times New Roman" w:hAnsi="Times New Roman"/>
          <w:sz w:val="24"/>
          <w:szCs w:val="24"/>
        </w:rPr>
        <w:t xml:space="preserve"> Egg donation therefore shows that motherhood is no longer a self-evident legal fact. It exposes the inadequacy of birth-based presumptions when technology distributes reproductive functions.</w:t>
      </w:r>
      <w:r>
        <w:rPr>
          <w:rStyle w:val="style38"/>
          <w:rFonts w:ascii="Times New Roman" w:cs="Times New Roman" w:hAnsi="Times New Roman"/>
          <w:sz w:val="24"/>
          <w:szCs w:val="24"/>
        </w:rPr>
        <w:footnoteReference w:id="188"/>
      </w:r>
    </w:p>
    <w:bookmarkStart w:id="27" w:name="_Toc233678232"/>
    <w:p w14:paraId="7EEC1F6D">
      <w:pPr>
        <w:pStyle w:val="style3"/>
        <w:rPr/>
      </w:pPr>
      <w:r>
        <w:t>2.</w:t>
      </w:r>
      <w:r>
        <w:rPr>
          <w:lang w:val="en-US"/>
        </w:rPr>
        <w:t>3</w:t>
      </w:r>
      <w:r>
        <w:t xml:space="preserve">.4 </w:t>
      </w:r>
      <w:r>
        <w:tab/>
      </w:r>
      <w:r>
        <w:t>Sperm Donation</w:t>
      </w:r>
      <w:bookmarkEnd w:id="27"/>
    </w:p>
    <w:p w14:paraId="7A805DE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Sperm donation raises parallel questions on the paternal side.</w:t>
      </w:r>
      <w:r>
        <w:rPr>
          <w:rStyle w:val="style38"/>
          <w:rFonts w:ascii="Times New Roman" w:cs="Times New Roman" w:hAnsi="Times New Roman"/>
          <w:sz w:val="24"/>
          <w:szCs w:val="24"/>
        </w:rPr>
        <w:footnoteReference w:id="189"/>
      </w:r>
      <w:r>
        <w:rPr>
          <w:rFonts w:ascii="Times New Roman" w:cs="Times New Roman" w:hAnsi="Times New Roman"/>
          <w:sz w:val="24"/>
          <w:szCs w:val="24"/>
        </w:rPr>
        <w:t xml:space="preserve"> The donor has a genetic connection to the child.</w:t>
      </w:r>
      <w:r>
        <w:rPr>
          <w:rStyle w:val="style38"/>
          <w:rFonts w:ascii="Times New Roman" w:cs="Times New Roman" w:hAnsi="Times New Roman"/>
          <w:sz w:val="24"/>
          <w:szCs w:val="24"/>
        </w:rPr>
        <w:footnoteReference w:id="190"/>
      </w:r>
      <w:r>
        <w:rPr>
          <w:rFonts w:ascii="Times New Roman" w:cs="Times New Roman" w:hAnsi="Times New Roman"/>
          <w:sz w:val="24"/>
          <w:szCs w:val="24"/>
        </w:rPr>
        <w:t xml:space="preserve"> Nonetheless, they may never intend social or legal fatherhood.</w:t>
      </w:r>
      <w:r>
        <w:rPr>
          <w:rStyle w:val="style38"/>
          <w:rFonts w:ascii="Times New Roman" w:cs="Times New Roman" w:hAnsi="Times New Roman"/>
          <w:sz w:val="24"/>
          <w:szCs w:val="24"/>
        </w:rPr>
        <w:footnoteReference w:id="191"/>
      </w:r>
      <w:r>
        <w:rPr>
          <w:rFonts w:ascii="Times New Roman" w:cs="Times New Roman" w:hAnsi="Times New Roman"/>
          <w:sz w:val="24"/>
          <w:szCs w:val="24"/>
        </w:rPr>
        <w:t xml:space="preserve"> The mother’s spouse or partner might aim to fulfil the role of a father, regardless of any biological ties.</w:t>
      </w:r>
      <w:r>
        <w:rPr>
          <w:rStyle w:val="style38"/>
          <w:rFonts w:ascii="Times New Roman" w:cs="Times New Roman" w:hAnsi="Times New Roman"/>
          <w:sz w:val="24"/>
          <w:szCs w:val="24"/>
        </w:rPr>
        <w:footnoteReference w:id="192"/>
      </w:r>
      <w:r>
        <w:rPr>
          <w:rFonts w:ascii="Times New Roman" w:cs="Times New Roman" w:hAnsi="Times New Roman"/>
          <w:sz w:val="24"/>
          <w:szCs w:val="24"/>
        </w:rPr>
        <w:t xml:space="preserve"> In disputes over paternity, the court weighs presumption against proof.</w:t>
      </w:r>
      <w:r>
        <w:rPr>
          <w:rStyle w:val="style38"/>
          <w:rFonts w:ascii="Times New Roman" w:cs="Times New Roman" w:hAnsi="Times New Roman"/>
          <w:sz w:val="24"/>
          <w:szCs w:val="24"/>
        </w:rPr>
        <w:footnoteReference w:id="193"/>
      </w:r>
      <w:r>
        <w:rPr>
          <w:rFonts w:ascii="Times New Roman" w:cs="Times New Roman" w:hAnsi="Times New Roman"/>
          <w:sz w:val="24"/>
          <w:szCs w:val="24"/>
        </w:rPr>
        <w:t xml:space="preserve"> In </w:t>
      </w:r>
      <w:r>
        <w:rPr>
          <w:rFonts w:ascii="Times New Roman" w:cs="Times New Roman" w:hAnsi="Times New Roman"/>
          <w:i/>
          <w:iCs/>
          <w:sz w:val="24"/>
          <w:szCs w:val="24"/>
        </w:rPr>
        <w:t>Anozia v. Nnani and o</w:t>
      </w:r>
      <w:r>
        <w:rPr>
          <w:rFonts w:ascii="Times New Roman" w:cs="Times New Roman" w:hAnsi="Times New Roman"/>
          <w:i/>
          <w:iCs/>
          <w:sz w:val="24"/>
          <w:szCs w:val="24"/>
          <w:lang w:val="en-US"/>
        </w:rPr>
        <w:t>rs</w:t>
      </w:r>
      <w:r>
        <w:rPr>
          <w:rFonts w:ascii="Times New Roman" w:cs="Times New Roman" w:hAnsi="Times New Roman"/>
          <w:sz w:val="24"/>
          <w:szCs w:val="24"/>
        </w:rPr>
        <w:t>,</w:t>
      </w:r>
      <w:r>
        <w:rPr>
          <w:rStyle w:val="style38"/>
          <w:rFonts w:ascii="Times New Roman" w:cs="Times New Roman" w:hAnsi="Times New Roman"/>
          <w:sz w:val="24"/>
          <w:szCs w:val="24"/>
        </w:rPr>
        <w:footnoteReference w:id="194"/>
      </w:r>
      <w:r>
        <w:rPr>
          <w:rFonts w:ascii="Times New Roman" w:cs="Times New Roman" w:hAnsi="Times New Roman"/>
          <w:sz w:val="24"/>
          <w:szCs w:val="24"/>
        </w:rPr>
        <w:t xml:space="preserve"> the court held that biological truth is significant. However, it is not always decisive. This is because privacy, dignity, as well as established family relationships matter too.</w:t>
      </w:r>
      <w:r>
        <w:rPr>
          <w:rStyle w:val="style38"/>
          <w:rFonts w:ascii="Times New Roman" w:cs="Times New Roman" w:hAnsi="Times New Roman"/>
          <w:sz w:val="24"/>
          <w:szCs w:val="24"/>
        </w:rPr>
        <w:footnoteReference w:id="195"/>
      </w:r>
    </w:p>
    <w:bookmarkStart w:id="28" w:name="_Toc233678233"/>
    <w:p w14:paraId="3CAC6F99">
      <w:pPr>
        <w:pStyle w:val="style3"/>
        <w:rPr/>
      </w:pPr>
      <w:r>
        <w:t>2.</w:t>
      </w:r>
      <w:r>
        <w:rPr>
          <w:lang w:val="en-US"/>
        </w:rPr>
        <w:t>3</w:t>
      </w:r>
      <w:r>
        <w:t xml:space="preserve">.5 </w:t>
      </w:r>
      <w:r>
        <w:tab/>
      </w:r>
      <w:r>
        <w:t>Embryo Donation</w:t>
      </w:r>
      <w:bookmarkEnd w:id="28"/>
    </w:p>
    <w:p w14:paraId="0747A347">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Embryo donation involves the transfer of an embryo created from gametes that may belong to third parties.</w:t>
      </w:r>
      <w:r>
        <w:rPr>
          <w:rStyle w:val="style38"/>
          <w:rFonts w:ascii="Times New Roman" w:cs="Times New Roman" w:hAnsi="Times New Roman"/>
          <w:sz w:val="24"/>
          <w:szCs w:val="24"/>
        </w:rPr>
        <w:footnoteReference w:id="196"/>
      </w:r>
      <w:r>
        <w:rPr>
          <w:rFonts w:ascii="Times New Roman" w:cs="Times New Roman" w:hAnsi="Times New Roman"/>
          <w:sz w:val="24"/>
          <w:szCs w:val="24"/>
        </w:rPr>
        <w:t xml:space="preserve"> Hence, intending parent or parents are neither genetically nor gestationally connected to the child (though they may be the only intended social parents from conception onward).</w:t>
      </w:r>
      <w:r>
        <w:rPr>
          <w:rStyle w:val="style38"/>
          <w:rFonts w:ascii="Times New Roman" w:cs="Times New Roman" w:hAnsi="Times New Roman"/>
          <w:sz w:val="24"/>
          <w:szCs w:val="24"/>
        </w:rPr>
        <w:footnoteReference w:id="197"/>
      </w:r>
      <w:r>
        <w:rPr>
          <w:rFonts w:ascii="Times New Roman" w:cs="Times New Roman" w:hAnsi="Times New Roman"/>
          <w:sz w:val="24"/>
          <w:szCs w:val="24"/>
        </w:rPr>
        <w:t xml:space="preserve"> This is one of the situations where intention and social parenting become central.</w:t>
      </w:r>
      <w:r>
        <w:rPr>
          <w:rStyle w:val="style38"/>
          <w:rFonts w:ascii="Times New Roman" w:cs="Times New Roman" w:hAnsi="Times New Roman"/>
          <w:sz w:val="24"/>
          <w:szCs w:val="24"/>
        </w:rPr>
        <w:footnoteReference w:id="198"/>
      </w:r>
      <w:r>
        <w:rPr>
          <w:rFonts w:ascii="Times New Roman" w:cs="Times New Roman" w:hAnsi="Times New Roman"/>
          <w:sz w:val="24"/>
          <w:szCs w:val="24"/>
        </w:rPr>
        <w:t xml:space="preserve"> Legally, embryo donation poses questions about anonymity, record-keeping as well information about origin.</w:t>
      </w:r>
      <w:r>
        <w:rPr>
          <w:rStyle w:val="style38"/>
          <w:rFonts w:ascii="Times New Roman" w:cs="Times New Roman" w:hAnsi="Times New Roman"/>
          <w:sz w:val="24"/>
          <w:szCs w:val="24"/>
        </w:rPr>
        <w:footnoteReference w:id="199"/>
      </w:r>
      <w:r>
        <w:rPr>
          <w:rFonts w:ascii="Times New Roman" w:cs="Times New Roman" w:hAnsi="Times New Roman"/>
          <w:sz w:val="24"/>
          <w:szCs w:val="24"/>
        </w:rPr>
        <w:t xml:space="preserve"> It is also uncertain whether the law should preserve some route for the child to access genetic identity.</w:t>
      </w:r>
      <w:r>
        <w:rPr>
          <w:rStyle w:val="style38"/>
          <w:rFonts w:ascii="Times New Roman" w:cs="Times New Roman" w:hAnsi="Times New Roman"/>
          <w:sz w:val="24"/>
          <w:szCs w:val="24"/>
        </w:rPr>
        <w:footnoteReference w:id="200"/>
      </w:r>
      <w:r>
        <w:rPr>
          <w:rFonts w:ascii="Times New Roman" w:cs="Times New Roman" w:hAnsi="Times New Roman"/>
          <w:sz w:val="24"/>
          <w:szCs w:val="24"/>
        </w:rPr>
        <w:t xml:space="preserve"> In the UK, the Human Fertilisation and Embryology Act 2008 permits individuals conceived through donors to access identifying details about their donors once they become adults.</w:t>
      </w:r>
      <w:r>
        <w:rPr>
          <w:rStyle w:val="style38"/>
          <w:rFonts w:ascii="Times New Roman" w:cs="Times New Roman" w:hAnsi="Times New Roman"/>
          <w:sz w:val="24"/>
          <w:szCs w:val="24"/>
        </w:rPr>
        <w:footnoteReference w:id="201"/>
      </w:r>
      <w:r>
        <w:rPr>
          <w:rFonts w:ascii="Times New Roman" w:cs="Times New Roman" w:hAnsi="Times New Roman"/>
          <w:sz w:val="24"/>
          <w:szCs w:val="24"/>
        </w:rPr>
        <w:t xml:space="preserve"> This reflects a broader shift away from donor anonymity.</w:t>
      </w:r>
      <w:r>
        <w:rPr>
          <w:rStyle w:val="style38"/>
          <w:rFonts w:ascii="Times New Roman" w:cs="Times New Roman" w:hAnsi="Times New Roman"/>
          <w:sz w:val="24"/>
          <w:szCs w:val="24"/>
        </w:rPr>
        <w:footnoteReference w:id="202"/>
      </w:r>
      <w:r>
        <w:rPr>
          <w:rFonts w:ascii="Times New Roman" w:cs="Times New Roman" w:hAnsi="Times New Roman"/>
          <w:sz w:val="24"/>
          <w:szCs w:val="24"/>
        </w:rPr>
        <w:t xml:space="preserve"> In Germany, the legislation acknowledges a child's entitlement to understand their genetic background and allows access to donor details via official records.</w:t>
      </w:r>
      <w:r>
        <w:rPr>
          <w:rStyle w:val="style38"/>
          <w:rFonts w:ascii="Times New Roman" w:cs="Times New Roman" w:hAnsi="Times New Roman"/>
          <w:sz w:val="24"/>
          <w:szCs w:val="24"/>
        </w:rPr>
        <w:footnoteReference w:id="203"/>
      </w:r>
      <w:r>
        <w:rPr>
          <w:rFonts w:ascii="Times New Roman" w:cs="Times New Roman" w:hAnsi="Times New Roman"/>
          <w:sz w:val="24"/>
          <w:szCs w:val="24"/>
        </w:rPr>
        <w:t xml:space="preserve"> These advancements indicate an increasing acknowledgement that access to genetic identity is integral to a child's right to identity and personal growth.</w:t>
      </w:r>
      <w:r>
        <w:rPr>
          <w:rStyle w:val="style38"/>
          <w:rFonts w:ascii="Times New Roman" w:cs="Times New Roman" w:hAnsi="Times New Roman"/>
          <w:sz w:val="24"/>
          <w:szCs w:val="24"/>
        </w:rPr>
        <w:footnoteReference w:id="204"/>
      </w:r>
      <w:r>
        <w:rPr>
          <w:rFonts w:ascii="Times New Roman" w:cs="Times New Roman" w:hAnsi="Times New Roman"/>
          <w:sz w:val="24"/>
          <w:szCs w:val="24"/>
        </w:rPr>
        <w:t xml:space="preserve"> and they may serve as a useful guide for legislative or policy reform in Nigeria. Comparative scholarship treats these identity questions as rights-based rather than optional.</w:t>
      </w:r>
      <w:r>
        <w:rPr>
          <w:rStyle w:val="style38"/>
          <w:rFonts w:ascii="Times New Roman" w:cs="Times New Roman" w:hAnsi="Times New Roman"/>
          <w:sz w:val="24"/>
          <w:szCs w:val="24"/>
        </w:rPr>
        <w:footnoteReference w:id="205"/>
      </w:r>
      <w:r>
        <w:rPr>
          <w:rFonts w:ascii="Times New Roman" w:cs="Times New Roman" w:hAnsi="Times New Roman"/>
          <w:sz w:val="24"/>
          <w:szCs w:val="24"/>
        </w:rPr>
        <w:t xml:space="preserve"> Even so, Nigerian law has not yet developed a clear framework for them.</w:t>
      </w:r>
      <w:r>
        <w:rPr>
          <w:rStyle w:val="style38"/>
          <w:rFonts w:ascii="Times New Roman" w:cs="Times New Roman" w:hAnsi="Times New Roman"/>
          <w:sz w:val="24"/>
          <w:szCs w:val="24"/>
        </w:rPr>
        <w:footnoteReference w:id="206"/>
      </w:r>
    </w:p>
    <w:bookmarkStart w:id="29" w:name="_Toc233678234"/>
    <w:p w14:paraId="72509F07">
      <w:pPr>
        <w:pStyle w:val="style3"/>
        <w:rPr/>
      </w:pPr>
      <w:r>
        <w:t>2.</w:t>
      </w:r>
      <w:r>
        <w:rPr>
          <w:lang w:val="en-US"/>
        </w:rPr>
        <w:t>3</w:t>
      </w:r>
      <w:r>
        <w:t xml:space="preserve">.6 </w:t>
      </w:r>
      <w:r>
        <w:tab/>
      </w:r>
      <w:r>
        <w:t>Cryopreservation</w:t>
      </w:r>
      <w:bookmarkEnd w:id="29"/>
    </w:p>
    <w:p w14:paraId="3F009062">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Cryopreservation is the freezing and storage of sperm, eggs, or embryos for later use.</w:t>
      </w:r>
      <w:r>
        <w:rPr>
          <w:rStyle w:val="style38"/>
          <w:rFonts w:ascii="Times New Roman" w:cs="Times New Roman" w:hAnsi="Times New Roman"/>
          <w:sz w:val="24"/>
          <w:szCs w:val="24"/>
          <w:lang w:val="en-US"/>
        </w:rPr>
        <w:footnoteReference w:id="207"/>
      </w:r>
      <w:r>
        <w:rPr>
          <w:rFonts w:ascii="Times New Roman" w:cs="Times New Roman" w:hAnsi="Times New Roman"/>
          <w:sz w:val="24"/>
          <w:szCs w:val="24"/>
          <w:lang w:val="en-US"/>
        </w:rPr>
        <w:t xml:space="preserve"> It has profound legal significance because it stretches reproduction across time.</w:t>
      </w:r>
      <w:r>
        <w:rPr>
          <w:rStyle w:val="style38"/>
          <w:rFonts w:ascii="Times New Roman" w:cs="Times New Roman" w:hAnsi="Times New Roman"/>
          <w:sz w:val="24"/>
          <w:szCs w:val="24"/>
          <w:lang w:val="en-US"/>
        </w:rPr>
        <w:footnoteReference w:id="208"/>
      </w:r>
      <w:r>
        <w:rPr>
          <w:rFonts w:ascii="Times New Roman" w:cs="Times New Roman" w:hAnsi="Times New Roman"/>
          <w:sz w:val="24"/>
          <w:szCs w:val="24"/>
          <w:lang w:val="en-US"/>
        </w:rPr>
        <w:t xml:space="preserve"> Material may be stored before cancer treatment, during fertility treatment, after relationship breakdown, or for posthumous use.</w:t>
      </w:r>
      <w:r>
        <w:rPr>
          <w:rStyle w:val="style38"/>
          <w:rFonts w:ascii="Times New Roman" w:cs="Times New Roman" w:hAnsi="Times New Roman"/>
          <w:sz w:val="24"/>
          <w:szCs w:val="24"/>
          <w:lang w:val="en-US"/>
        </w:rPr>
        <w:footnoteReference w:id="209"/>
      </w:r>
      <w:r>
        <w:rPr>
          <w:rFonts w:ascii="Times New Roman" w:cs="Times New Roman" w:hAnsi="Times New Roman"/>
          <w:sz w:val="24"/>
          <w:szCs w:val="24"/>
          <w:lang w:val="en-US"/>
        </w:rPr>
        <w:t xml:space="preserve"> In other jurisdictions, detailed statutory frameworks govern these issues.</w:t>
      </w:r>
      <w:r>
        <w:rPr>
          <w:rStyle w:val="style38"/>
          <w:rFonts w:ascii="Times New Roman" w:cs="Times New Roman" w:hAnsi="Times New Roman"/>
          <w:sz w:val="24"/>
          <w:szCs w:val="24"/>
          <w:lang w:val="en-US"/>
        </w:rPr>
        <w:footnoteReference w:id="210"/>
      </w:r>
      <w:r>
        <w:rPr>
          <w:rFonts w:ascii="Times New Roman" w:cs="Times New Roman" w:hAnsi="Times New Roman"/>
          <w:sz w:val="24"/>
          <w:szCs w:val="24"/>
          <w:lang w:val="en-US"/>
        </w:rPr>
        <w:t xml:space="preserve"> In the UK, </w:t>
      </w:r>
      <w:r>
        <w:rPr>
          <w:rFonts w:ascii="Times New Roman" w:cs="Times New Roman" w:hAnsi="Times New Roman"/>
          <w:i/>
          <w:iCs/>
          <w:sz w:val="24"/>
          <w:szCs w:val="24"/>
          <w:lang w:val="en-US"/>
        </w:rPr>
        <w:t xml:space="preserve">The Human Fertilisation and Embryology Act 1990(as amended) </w:t>
      </w:r>
      <w:r>
        <w:rPr>
          <w:rFonts w:ascii="Times New Roman" w:cs="Times New Roman" w:hAnsi="Times New Roman"/>
          <w:sz w:val="24"/>
          <w:szCs w:val="24"/>
          <w:lang w:val="en-US"/>
        </w:rPr>
        <w:t>regulates storage, consent, and use of embryos and gametes, including limits on storage periods and requirements for written consent.</w:t>
      </w:r>
      <w:r>
        <w:rPr>
          <w:rStyle w:val="style38"/>
          <w:rFonts w:ascii="Times New Roman" w:cs="Times New Roman" w:hAnsi="Times New Roman"/>
          <w:sz w:val="24"/>
          <w:szCs w:val="24"/>
          <w:lang w:val="en-US"/>
        </w:rPr>
        <w:footnoteReference w:id="211"/>
      </w:r>
      <w:r>
        <w:rPr>
          <w:rFonts w:ascii="Times New Roman" w:cs="Times New Roman" w:hAnsi="Times New Roman"/>
          <w:sz w:val="24"/>
          <w:szCs w:val="24"/>
          <w:lang w:val="en-US"/>
        </w:rPr>
        <w:t xml:space="preserve"> Similarly, in South Africa, regulations made under the </w:t>
      </w:r>
      <w:r>
        <w:rPr>
          <w:rFonts w:ascii="Times New Roman" w:cs="Times New Roman" w:hAnsi="Times New Roman"/>
          <w:i/>
          <w:iCs/>
          <w:sz w:val="24"/>
          <w:szCs w:val="24"/>
          <w:lang w:val="en-US"/>
        </w:rPr>
        <w:t>National Health Act</w:t>
      </w:r>
      <w:r>
        <w:rPr>
          <w:rFonts w:ascii="Times New Roman" w:cs="Times New Roman" w:hAnsi="Times New Roman"/>
          <w:sz w:val="24"/>
          <w:szCs w:val="24"/>
          <w:lang w:val="en-US"/>
        </w:rPr>
        <w:t xml:space="preserve"> prescribe consent requirements and conditions for the storage and use of reproductive material, including provisions relevant to posthumous reproduction.</w:t>
      </w:r>
      <w:r>
        <w:rPr>
          <w:rStyle w:val="style38"/>
          <w:rFonts w:ascii="Times New Roman" w:cs="Times New Roman" w:hAnsi="Times New Roman"/>
          <w:sz w:val="24"/>
          <w:szCs w:val="24"/>
          <w:lang w:val="en-US"/>
        </w:rPr>
        <w:footnoteReference w:id="212"/>
      </w:r>
    </w:p>
    <w:p w14:paraId="4DB7A32C">
      <w:pPr>
        <w:pStyle w:val="style0"/>
        <w:spacing w:lineRule="auto" w:line="480"/>
        <w:jc w:val="both"/>
        <w:rPr>
          <w:rFonts w:ascii="Times New Roman" w:cs="Times New Roman" w:hAnsi="Times New Roman"/>
          <w:b/>
          <w:bCs/>
          <w:sz w:val="24"/>
          <w:szCs w:val="24"/>
        </w:rPr>
      </w:pPr>
      <w:r>
        <w:rPr>
          <w:rFonts w:ascii="Times New Roman" w:cs="Times New Roman" w:hAnsi="Times New Roman"/>
          <w:sz w:val="24"/>
          <w:szCs w:val="24"/>
          <w:lang w:val="en-US"/>
        </w:rPr>
        <w:t>In Nigeria, legislation contains only general health-system provisions.</w:t>
      </w:r>
      <w:r>
        <w:rPr>
          <w:rStyle w:val="style38"/>
          <w:rFonts w:ascii="Times New Roman" w:cs="Times New Roman" w:hAnsi="Times New Roman"/>
          <w:sz w:val="24"/>
          <w:szCs w:val="24"/>
          <w:lang w:val="en-US"/>
        </w:rPr>
        <w:footnoteReference w:id="213"/>
      </w:r>
      <w:r>
        <w:rPr>
          <w:rFonts w:ascii="Times New Roman" w:cs="Times New Roman" w:hAnsi="Times New Roman"/>
          <w:sz w:val="24"/>
          <w:szCs w:val="24"/>
          <w:lang w:val="en-US"/>
        </w:rPr>
        <w:t xml:space="preserve"> However, it does not provide a comprehensive statutory regime for ART or cryopreservation.</w:t>
      </w:r>
      <w:r>
        <w:rPr>
          <w:rStyle w:val="style38"/>
          <w:rFonts w:ascii="Times New Roman" w:cs="Times New Roman" w:hAnsi="Times New Roman"/>
          <w:sz w:val="24"/>
          <w:szCs w:val="24"/>
          <w:lang w:val="en-US"/>
        </w:rPr>
        <w:footnoteReference w:id="214"/>
      </w:r>
      <w:r>
        <w:rPr>
          <w:rFonts w:ascii="Times New Roman" w:cs="Times New Roman" w:hAnsi="Times New Roman"/>
          <w:sz w:val="24"/>
          <w:szCs w:val="24"/>
          <w:lang w:val="en-US"/>
        </w:rPr>
        <w:t xml:space="preserve"> In view of this gap, a phased and context-sensitive approach is recommended.</w:t>
      </w:r>
      <w:r>
        <w:rPr>
          <w:rStyle w:val="style38"/>
          <w:rFonts w:ascii="Times New Roman" w:cs="Times New Roman" w:hAnsi="Times New Roman"/>
          <w:sz w:val="24"/>
          <w:szCs w:val="24"/>
          <w:lang w:val="en-US"/>
        </w:rPr>
        <w:footnoteReference w:id="215"/>
      </w:r>
    </w:p>
    <w:bookmarkStart w:id="30" w:name="_Toc233678235"/>
    <w:p w14:paraId="67B2A38C">
      <w:pPr>
        <w:pStyle w:val="style2"/>
        <w:rPr/>
      </w:pPr>
      <w:r>
        <w:t xml:space="preserve">2.4 </w:t>
      </w:r>
      <w:r>
        <w:tab/>
      </w:r>
      <w:r>
        <w:t>Meaning and Nature of Surrogacy</w:t>
      </w:r>
      <w:bookmarkEnd w:id="30"/>
    </w:p>
    <w:p w14:paraId="5D1F39A9">
      <w:pPr>
        <w:pStyle w:val="style0"/>
        <w:spacing w:lineRule="auto" w:line="480"/>
        <w:jc w:val="both"/>
        <w:rPr>
          <w:rFonts w:ascii="Times New Roman" w:cs="Times New Roman" w:hAnsi="Times New Roman"/>
          <w:sz w:val="24"/>
          <w:szCs w:val="24"/>
        </w:rPr>
      </w:pPr>
      <w:r>
        <w:rPr>
          <w:rFonts w:ascii="Times New Roman" w:cs="Times New Roman" w:hAnsi="Times New Roman"/>
          <w:i/>
          <w:iCs/>
          <w:sz w:val="24"/>
          <w:szCs w:val="24"/>
        </w:rPr>
        <w:t xml:space="preserve">The Surrogacy Bill 2024 </w:t>
      </w:r>
      <w:r>
        <w:rPr>
          <w:rFonts w:ascii="Times New Roman" w:cs="Times New Roman" w:hAnsi="Times New Roman"/>
          <w:sz w:val="24"/>
          <w:szCs w:val="24"/>
        </w:rPr>
        <w:t>described as a situation in which a woman consents to carry a child for another individual or couple, who will assume legal parenthood of the child following its birth.</w:t>
      </w:r>
      <w:r>
        <w:rPr>
          <w:rStyle w:val="style38"/>
          <w:rFonts w:ascii="Times New Roman" w:cs="Times New Roman" w:hAnsi="Times New Roman"/>
          <w:sz w:val="24"/>
          <w:szCs w:val="24"/>
        </w:rPr>
        <w:footnoteReference w:id="216"/>
      </w:r>
      <w:r>
        <w:rPr>
          <w:rFonts w:ascii="Times New Roman" w:cs="Times New Roman" w:hAnsi="Times New Roman"/>
          <w:sz w:val="24"/>
          <w:szCs w:val="24"/>
        </w:rPr>
        <w:t xml:space="preserve"> This definition focuses on the expectation that another individual or couple will take on legal parental responsibilities after the child's arrival..</w:t>
      </w:r>
      <w:r>
        <w:rPr>
          <w:rStyle w:val="style38"/>
          <w:rFonts w:ascii="Times New Roman" w:cs="Times New Roman" w:hAnsi="Times New Roman"/>
          <w:sz w:val="24"/>
          <w:szCs w:val="24"/>
        </w:rPr>
        <w:footnoteReference w:id="217"/>
      </w:r>
      <w:r>
        <w:rPr>
          <w:rFonts w:ascii="Times New Roman" w:cs="Times New Roman" w:hAnsi="Times New Roman"/>
          <w:sz w:val="24"/>
          <w:szCs w:val="24"/>
        </w:rPr>
        <w:t>Surrogacy is not a cure for infertility in the strict medical sense, but it operates as an assisted reproductive remedy for persons who cannot conceive, carry, or safely complete a pregnancy.</w:t>
      </w:r>
      <w:r>
        <w:rPr>
          <w:rStyle w:val="style38"/>
          <w:rFonts w:ascii="Times New Roman" w:cs="Times New Roman" w:hAnsi="Times New Roman"/>
          <w:sz w:val="24"/>
          <w:szCs w:val="24"/>
        </w:rPr>
        <w:footnoteReference w:id="218"/>
      </w:r>
      <w:r>
        <w:rPr>
          <w:rFonts w:ascii="Times New Roman" w:cs="Times New Roman" w:hAnsi="Times New Roman"/>
          <w:sz w:val="24"/>
          <w:szCs w:val="24"/>
        </w:rPr>
        <w:t>Legally, it is controversial because it intersects with family law, contract, health law, constitutional rights, and child protection.</w:t>
      </w:r>
      <w:r>
        <w:rPr>
          <w:rStyle w:val="style38"/>
          <w:rFonts w:ascii="Times New Roman" w:cs="Times New Roman" w:hAnsi="Times New Roman"/>
          <w:sz w:val="24"/>
          <w:szCs w:val="24"/>
        </w:rPr>
        <w:footnoteReference w:id="219"/>
      </w:r>
      <w:r>
        <w:rPr>
          <w:rFonts w:ascii="Times New Roman" w:cs="Times New Roman" w:hAnsi="Times New Roman"/>
          <w:sz w:val="24"/>
          <w:szCs w:val="24"/>
        </w:rPr>
        <w:t xml:space="preserve">  It is a legal arrangement involving multiple parties whose interests may converge at the outset but diverge later.</w:t>
      </w:r>
      <w:r>
        <w:rPr>
          <w:rStyle w:val="style38"/>
          <w:rFonts w:ascii="Times New Roman" w:cs="Times New Roman" w:hAnsi="Times New Roman"/>
          <w:sz w:val="24"/>
          <w:szCs w:val="24"/>
        </w:rPr>
        <w:footnoteReference w:id="220"/>
      </w:r>
      <w:r>
        <w:rPr>
          <w:rFonts w:ascii="Times New Roman" w:cs="Times New Roman" w:hAnsi="Times New Roman"/>
          <w:sz w:val="24"/>
          <w:szCs w:val="24"/>
        </w:rPr>
        <w:t xml:space="preserve"> Obadina noted that surrogacy isregulated inadequately in Nigeria.</w:t>
      </w:r>
      <w:r>
        <w:rPr>
          <w:rStyle w:val="style38"/>
          <w:rFonts w:ascii="Times New Roman" w:cs="Times New Roman" w:hAnsi="Times New Roman"/>
          <w:sz w:val="24"/>
          <w:szCs w:val="24"/>
        </w:rPr>
        <w:footnoteReference w:id="221"/>
      </w:r>
    </w:p>
    <w:p w14:paraId="619F367A">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Legally, it is unclear whether surrogacy is a contract, status, or welfare.</w:t>
      </w:r>
      <w:r>
        <w:rPr>
          <w:rStyle w:val="style38"/>
          <w:rFonts w:ascii="Times New Roman" w:cs="Times New Roman" w:hAnsi="Times New Roman"/>
          <w:sz w:val="24"/>
          <w:szCs w:val="24"/>
        </w:rPr>
        <w:footnoteReference w:id="222"/>
      </w:r>
      <w:r>
        <w:rPr>
          <w:rFonts w:ascii="Times New Roman" w:cs="Times New Roman" w:hAnsi="Times New Roman"/>
          <w:sz w:val="24"/>
          <w:szCs w:val="24"/>
        </w:rPr>
        <w:t xml:space="preserve"> A contractual approach is inadequate because children are not chattels and parentage cannot be wholly </w:t>
      </w:r>
      <w:r>
        <w:rPr>
          <w:rFonts w:ascii="Times New Roman" w:cs="Times New Roman" w:hAnsi="Times New Roman"/>
          <w:sz w:val="24"/>
          <w:szCs w:val="24"/>
          <w:lang w:val="en-US"/>
        </w:rPr>
        <w:t>privatized</w:t>
      </w:r>
      <w:r>
        <w:rPr>
          <w:rFonts w:ascii="Times New Roman" w:cs="Times New Roman" w:hAnsi="Times New Roman"/>
          <w:sz w:val="24"/>
          <w:szCs w:val="24"/>
        </w:rPr>
        <w:t>.</w:t>
      </w:r>
      <w:r>
        <w:rPr>
          <w:rStyle w:val="style38"/>
          <w:rFonts w:ascii="Times New Roman" w:cs="Times New Roman" w:hAnsi="Times New Roman"/>
          <w:sz w:val="24"/>
          <w:szCs w:val="24"/>
        </w:rPr>
        <w:footnoteReference w:id="223"/>
      </w:r>
      <w:r>
        <w:rPr>
          <w:rFonts w:ascii="Times New Roman" w:cs="Times New Roman" w:hAnsi="Times New Roman"/>
          <w:sz w:val="24"/>
          <w:szCs w:val="24"/>
        </w:rPr>
        <w:t xml:space="preserve"> Yet a status-based approach may also be inadequate because it ignores genuine intention for reproduction and the autonomy of adults who enter the arrangement knowingly.</w:t>
      </w:r>
      <w:r>
        <w:rPr>
          <w:rStyle w:val="style38"/>
          <w:rFonts w:ascii="Times New Roman" w:cs="Times New Roman" w:hAnsi="Times New Roman"/>
          <w:sz w:val="24"/>
          <w:szCs w:val="24"/>
        </w:rPr>
        <w:footnoteReference w:id="224"/>
      </w:r>
      <w:r>
        <w:rPr>
          <w:rFonts w:ascii="Times New Roman" w:cs="Times New Roman" w:hAnsi="Times New Roman"/>
          <w:sz w:val="24"/>
          <w:szCs w:val="24"/>
        </w:rPr>
        <w:t xml:space="preserve"> Comparative precedents illustrates this tension.</w:t>
      </w:r>
      <w:r>
        <w:rPr>
          <w:rStyle w:val="style38"/>
          <w:rFonts w:ascii="Times New Roman" w:cs="Times New Roman" w:hAnsi="Times New Roman"/>
          <w:sz w:val="24"/>
          <w:szCs w:val="24"/>
        </w:rPr>
        <w:footnoteReference w:id="225"/>
      </w:r>
      <w:r>
        <w:rPr>
          <w:rStyle w:val="style87"/>
          <w:rFonts w:ascii="Times New Roman" w:cs="Times New Roman" w:hAnsi="Times New Roman"/>
          <w:b w:val="false"/>
          <w:sz w:val="24"/>
          <w:szCs w:val="24"/>
        </w:rPr>
        <w:t>In</w:t>
      </w:r>
      <w:r>
        <w:rPr>
          <w:rStyle w:val="style87"/>
          <w:rFonts w:ascii="Times New Roman" w:cs="Times New Roman" w:hAnsi="Times New Roman"/>
          <w:b w:val="false"/>
          <w:i/>
          <w:iCs/>
          <w:sz w:val="24"/>
          <w:szCs w:val="24"/>
        </w:rPr>
        <w:t xml:space="preserve"> re Baby M</w:t>
      </w:r>
      <w:r>
        <w:rPr>
          <w:rStyle w:val="style87"/>
          <w:rFonts w:ascii="Times New Roman" w:cs="Times New Roman" w:hAnsi="Times New Roman"/>
          <w:b w:val="false"/>
          <w:sz w:val="24"/>
          <w:szCs w:val="24"/>
        </w:rPr>
        <w:t>,</w:t>
      </w:r>
      <w:r>
        <w:rPr>
          <w:rStyle w:val="style38"/>
          <w:rFonts w:ascii="Times New Roman" w:cs="Times New Roman" w:hAnsi="Times New Roman"/>
          <w:bCs/>
          <w:sz w:val="24"/>
          <w:szCs w:val="24"/>
        </w:rPr>
        <w:footnoteReference w:id="226"/>
      </w:r>
      <w:r>
        <w:rPr>
          <w:rStyle w:val="style87"/>
          <w:rFonts w:ascii="Times New Roman" w:cs="Times New Roman" w:hAnsi="Times New Roman"/>
          <w:b w:val="false"/>
          <w:sz w:val="24"/>
          <w:szCs w:val="24"/>
        </w:rPr>
        <w:t xml:space="preserve"> The court approached surrogacy with considerable scepticism due to the nature of the arrangement, which involved traditional surrogacy, where the surrogate was also the biological mother. The surrogate consented to undergo artificial insemination using the sperm of the commissioning father and to give up the child following birth. Nonetheless, following the birth, she declined to give up the baby. The New Jersey Supreme Court determined that the surrogacy agreement was not enforceable due to its conflict with public policy, especially since it appeared to mimic the sale of a child and compromised the rights of the birth mother. Although custody was granted to the commissioning father for the sake of the child's well-being, the court declined to revoke the surrogate's parental rights solely based on the agreement..</w:t>
      </w:r>
      <w:r>
        <w:rPr>
          <w:rStyle w:val="style38"/>
          <w:rFonts w:ascii="Times New Roman" w:cs="Times New Roman" w:hAnsi="Times New Roman"/>
          <w:sz w:val="24"/>
          <w:szCs w:val="24"/>
        </w:rPr>
        <w:footnoteReference w:id="227"/>
      </w:r>
      <w:r>
        <w:rPr>
          <w:rStyle w:val="style87"/>
          <w:rFonts w:ascii="Times New Roman" w:cs="Times New Roman" w:hAnsi="Times New Roman"/>
          <w:b w:val="false"/>
          <w:sz w:val="24"/>
          <w:szCs w:val="24"/>
        </w:rPr>
        <w:t xml:space="preserve"> This explains the court’s cautious and restrictive approach to surrogacy.</w:t>
      </w:r>
      <w:r>
        <w:rPr>
          <w:rStyle w:val="style38"/>
          <w:rFonts w:ascii="Times New Roman" w:cs="Times New Roman" w:hAnsi="Times New Roman"/>
          <w:sz w:val="24"/>
          <w:szCs w:val="24"/>
        </w:rPr>
        <w:footnoteReference w:id="228"/>
      </w:r>
      <w:r>
        <w:rPr>
          <w:rFonts w:ascii="Times New Roman" w:cs="Times New Roman" w:hAnsi="Times New Roman"/>
          <w:sz w:val="24"/>
          <w:szCs w:val="24"/>
        </w:rPr>
        <w:t xml:space="preserve"> On the other hand, in </w:t>
      </w:r>
      <w:r>
        <w:rPr>
          <w:rStyle w:val="style87"/>
          <w:rFonts w:ascii="Times New Roman" w:cs="Times New Roman" w:hAnsi="Times New Roman"/>
          <w:b w:val="false"/>
          <w:i/>
          <w:iCs/>
          <w:sz w:val="24"/>
          <w:szCs w:val="24"/>
        </w:rPr>
        <w:t>Johnson v Calvert</w:t>
      </w:r>
      <w:r>
        <w:rPr>
          <w:rStyle w:val="style87"/>
          <w:rFonts w:ascii="Times New Roman" w:cs="Times New Roman" w:hAnsi="Times New Roman"/>
          <w:b w:val="false"/>
          <w:sz w:val="24"/>
          <w:szCs w:val="24"/>
        </w:rPr>
        <w:t>,</w:t>
      </w:r>
      <w:r>
        <w:rPr>
          <w:rStyle w:val="style38"/>
          <w:rFonts w:ascii="Times New Roman" w:cs="Times New Roman" w:hAnsi="Times New Roman"/>
          <w:bCs/>
          <w:sz w:val="24"/>
          <w:szCs w:val="24"/>
        </w:rPr>
        <w:footnoteReference w:id="229"/>
      </w:r>
      <w:r>
        <w:rPr>
          <w:rStyle w:val="style87"/>
          <w:rFonts w:ascii="Times New Roman" w:cs="Times New Roman" w:hAnsi="Times New Roman"/>
          <w:b w:val="false"/>
          <w:sz w:val="24"/>
          <w:szCs w:val="24"/>
        </w:rPr>
        <w:t xml:space="preserve"> The court embraced a more lenient stance regarding gestational surrogacy, in cases where the surrogate did not have a genetic connection to the child. The embryo was formed using the reproductive cells of the intended parents and placed in the surrogate.</w:t>
      </w:r>
      <w:r>
        <w:rPr>
          <w:rStyle w:val="style38"/>
          <w:rFonts w:ascii="Times New Roman" w:cs="Times New Roman" w:hAnsi="Times New Roman"/>
          <w:sz w:val="24"/>
          <w:szCs w:val="24"/>
        </w:rPr>
        <w:footnoteReference w:id="230"/>
      </w:r>
      <w:r>
        <w:rPr>
          <w:rStyle w:val="style87"/>
          <w:rFonts w:ascii="Times New Roman" w:cs="Times New Roman" w:hAnsi="Times New Roman"/>
          <w:b w:val="false"/>
          <w:sz w:val="24"/>
          <w:szCs w:val="24"/>
        </w:rPr>
        <w:t xml:space="preserve"> In the event of a disagreement following childbirth, the Supreme Court of California determined that when genetic and gestational motherhood are separated, the woman who aimed to give birth to the child and nurture the child as her own should be acknowledged as the natural mother. The court thus placed significant emphasis on procreative intent, setting this case apart from conventional surrogacy. This choice indicates a movement towards acknowledging purpose and intentional family planning in addressing parentage conflicts that emerge from assisted reproductive methods.</w:t>
      </w:r>
      <w:r>
        <w:rPr>
          <w:rStyle w:val="style38"/>
          <w:rFonts w:ascii="Times New Roman" w:cs="Times New Roman" w:hAnsi="Times New Roman"/>
          <w:sz w:val="24"/>
          <w:szCs w:val="24"/>
        </w:rPr>
        <w:footnoteReference w:id="231"/>
      </w:r>
      <w:r>
        <w:rPr>
          <w:rFonts w:ascii="Times New Roman" w:cs="Times New Roman" w:hAnsi="Times New Roman"/>
          <w:sz w:val="24"/>
          <w:szCs w:val="24"/>
        </w:rPr>
        <w:t>Furthermore, the nature of surrogacy in Nigeria is shaped by culture and religion.</w:t>
      </w:r>
      <w:r>
        <w:rPr>
          <w:rStyle w:val="style38"/>
          <w:rFonts w:ascii="Times New Roman" w:cs="Times New Roman" w:hAnsi="Times New Roman"/>
          <w:sz w:val="24"/>
          <w:szCs w:val="24"/>
        </w:rPr>
        <w:footnoteReference w:id="232"/>
      </w:r>
      <w:r>
        <w:rPr>
          <w:rFonts w:ascii="Times New Roman" w:cs="Times New Roman" w:hAnsi="Times New Roman"/>
          <w:sz w:val="24"/>
          <w:szCs w:val="24"/>
        </w:rPr>
        <w:t xml:space="preserve"> Obadina</w:t>
      </w:r>
      <w:r>
        <w:rPr>
          <w:rStyle w:val="style38"/>
          <w:rFonts w:ascii="Times New Roman" w:cs="Times New Roman" w:hAnsi="Times New Roman"/>
          <w:sz w:val="24"/>
          <w:szCs w:val="24"/>
        </w:rPr>
        <w:footnoteReference w:id="233"/>
      </w:r>
      <w:r>
        <w:rPr>
          <w:rFonts w:ascii="Times New Roman" w:cs="Times New Roman" w:hAnsi="Times New Roman"/>
          <w:sz w:val="24"/>
          <w:szCs w:val="24"/>
        </w:rPr>
        <w:t xml:space="preserve"> argues that the regulation for surrogacy cannot be understood apart from socio-cultural attitudes about bloodline, motherhood, morality, and femininity. To that effect, legal silence is not neutral.</w:t>
      </w:r>
      <w:r>
        <w:rPr>
          <w:rStyle w:val="style38"/>
          <w:rFonts w:ascii="Times New Roman" w:cs="Times New Roman" w:hAnsi="Times New Roman"/>
          <w:sz w:val="24"/>
          <w:szCs w:val="24"/>
        </w:rPr>
        <w:footnoteReference w:id="234"/>
      </w:r>
      <w:r>
        <w:rPr>
          <w:rFonts w:ascii="Times New Roman" w:cs="Times New Roman" w:hAnsi="Times New Roman"/>
          <w:sz w:val="24"/>
          <w:szCs w:val="24"/>
        </w:rPr>
        <w:t xml:space="preserve"> In practice, silence shifts power toward clinics and intermediaries.</w:t>
      </w:r>
      <w:r>
        <w:rPr>
          <w:rStyle w:val="style38"/>
          <w:rFonts w:ascii="Times New Roman" w:cs="Times New Roman" w:hAnsi="Times New Roman"/>
          <w:sz w:val="24"/>
          <w:szCs w:val="24"/>
        </w:rPr>
        <w:footnoteReference w:id="235"/>
      </w:r>
      <w:r>
        <w:rPr>
          <w:rFonts w:ascii="Times New Roman" w:cs="Times New Roman" w:hAnsi="Times New Roman"/>
          <w:sz w:val="24"/>
          <w:szCs w:val="24"/>
        </w:rPr>
        <w:t xml:space="preserve"> In addition, it leaves surrogates and children more vulnerable.</w:t>
      </w:r>
      <w:r>
        <w:rPr>
          <w:rStyle w:val="style38"/>
          <w:rFonts w:ascii="Times New Roman" w:cs="Times New Roman" w:hAnsi="Times New Roman"/>
          <w:sz w:val="24"/>
          <w:szCs w:val="24"/>
        </w:rPr>
        <w:footnoteReference w:id="236"/>
      </w:r>
    </w:p>
    <w:bookmarkStart w:id="31" w:name="_Toc233678236"/>
    <w:p w14:paraId="5AC55ECD">
      <w:pPr>
        <w:pStyle w:val="style2"/>
        <w:rPr/>
      </w:pPr>
      <w:r>
        <w:t xml:space="preserve">2.5 </w:t>
      </w:r>
      <w:r>
        <w:tab/>
      </w:r>
      <w:r>
        <w:t>Types of Surrogacy</w:t>
      </w:r>
      <w:bookmarkEnd w:id="31"/>
    </w:p>
    <w:bookmarkStart w:id="32" w:name="_Toc233678237"/>
    <w:p w14:paraId="14817AA3">
      <w:pPr>
        <w:pStyle w:val="style3"/>
        <w:rPr/>
      </w:pPr>
      <w:r>
        <w:t>2.</w:t>
      </w:r>
      <w:r>
        <w:rPr>
          <w:lang w:val="en-US"/>
        </w:rPr>
        <w:t>5</w:t>
      </w:r>
      <w:r>
        <w:t xml:space="preserve">.1 </w:t>
      </w:r>
      <w:r>
        <w:tab/>
      </w:r>
      <w:r>
        <w:t>Traditional Surrogacy</w:t>
      </w:r>
      <w:bookmarkEnd w:id="32"/>
    </w:p>
    <w:p w14:paraId="3D8A6878">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traditional surrogacy, the surrogate serves as both the gestational carrier and the biological mother, as her own egg is utilised.</w:t>
      </w:r>
      <w:r>
        <w:rPr>
          <w:rStyle w:val="style38"/>
          <w:rFonts w:ascii="Times New Roman" w:cs="Times New Roman" w:hAnsi="Times New Roman"/>
          <w:sz w:val="24"/>
          <w:szCs w:val="24"/>
        </w:rPr>
        <w:footnoteReference w:id="237"/>
      </w:r>
      <w:r>
        <w:rPr>
          <w:rFonts w:ascii="Times New Roman" w:cs="Times New Roman" w:hAnsi="Times New Roman"/>
          <w:sz w:val="24"/>
          <w:szCs w:val="24"/>
        </w:rPr>
        <w:t xml:space="preserve"> This form resembles the facts of </w:t>
      </w:r>
      <w:r>
        <w:rPr>
          <w:rFonts w:ascii="Times New Roman" w:cs="Times New Roman" w:hAnsi="Times New Roman"/>
          <w:sz w:val="24"/>
          <w:szCs w:val="24"/>
          <w:lang w:val="en-US"/>
        </w:rPr>
        <w:t xml:space="preserve">In </w:t>
      </w:r>
      <w:r>
        <w:rPr>
          <w:rStyle w:val="style87"/>
          <w:rFonts w:ascii="Times New Roman" w:cs="Times New Roman" w:hAnsi="Times New Roman"/>
          <w:b w:val="false"/>
          <w:i/>
          <w:iCs/>
          <w:sz w:val="24"/>
          <w:szCs w:val="24"/>
        </w:rPr>
        <w:t>re Baby M</w:t>
      </w:r>
      <w:r>
        <w:rPr>
          <w:rFonts w:ascii="Times New Roman" w:cs="Times New Roman" w:hAnsi="Times New Roman"/>
          <w:sz w:val="24"/>
          <w:szCs w:val="24"/>
        </w:rPr>
        <w:t>.</w:t>
      </w:r>
      <w:r>
        <w:rPr>
          <w:rStyle w:val="style38"/>
          <w:rFonts w:ascii="Times New Roman" w:cs="Times New Roman" w:hAnsi="Times New Roman"/>
          <w:sz w:val="24"/>
          <w:szCs w:val="24"/>
        </w:rPr>
        <w:footnoteReference w:id="238"/>
      </w:r>
      <w:r>
        <w:rPr>
          <w:rFonts w:ascii="Times New Roman" w:cs="Times New Roman" w:hAnsi="Times New Roman"/>
          <w:sz w:val="24"/>
          <w:szCs w:val="24"/>
        </w:rPr>
        <w:t xml:space="preserve"> It creates the highest risk of legal contest because genetic and gestational motherhood are united in the surrogate.</w:t>
      </w:r>
      <w:r>
        <w:rPr>
          <w:rStyle w:val="style38"/>
          <w:rFonts w:ascii="Times New Roman" w:cs="Times New Roman" w:hAnsi="Times New Roman"/>
          <w:sz w:val="24"/>
          <w:szCs w:val="24"/>
        </w:rPr>
        <w:footnoteReference w:id="239"/>
      </w:r>
      <w:r>
        <w:rPr>
          <w:rFonts w:ascii="Times New Roman" w:cs="Times New Roman" w:hAnsi="Times New Roman"/>
          <w:sz w:val="24"/>
          <w:szCs w:val="24"/>
        </w:rPr>
        <w:t xml:space="preserve"> For that reason, it is more problematic than gestational surrogacy.</w:t>
      </w:r>
      <w:r>
        <w:rPr>
          <w:rStyle w:val="style38"/>
          <w:rFonts w:ascii="Times New Roman" w:cs="Times New Roman" w:hAnsi="Times New Roman"/>
          <w:sz w:val="24"/>
          <w:szCs w:val="24"/>
        </w:rPr>
        <w:footnoteReference w:id="240"/>
      </w:r>
      <w:r>
        <w:rPr>
          <w:rFonts w:ascii="Times New Roman" w:cs="Times New Roman" w:hAnsi="Times New Roman"/>
          <w:sz w:val="24"/>
          <w:szCs w:val="24"/>
        </w:rPr>
        <w:t xml:space="preserve"> From a doctrinal standpoint, traditional surrogacy is harder to distinguish from adoption-before-birth or from a contract to surrender one’s own child.</w:t>
      </w:r>
      <w:r>
        <w:rPr>
          <w:rStyle w:val="style38"/>
          <w:rFonts w:ascii="Times New Roman" w:cs="Times New Roman" w:hAnsi="Times New Roman"/>
          <w:sz w:val="24"/>
          <w:szCs w:val="24"/>
        </w:rPr>
        <w:footnoteReference w:id="241"/>
      </w:r>
      <w:r>
        <w:rPr>
          <w:rFonts w:ascii="Times New Roman" w:cs="Times New Roman" w:hAnsi="Times New Roman"/>
          <w:sz w:val="24"/>
          <w:szCs w:val="24"/>
        </w:rPr>
        <w:t xml:space="preserve"> It therefore raises stronger objections based on public policy, coercion, as well as maternal attachment.</w:t>
      </w:r>
      <w:r>
        <w:rPr>
          <w:rStyle w:val="style38"/>
          <w:rFonts w:ascii="Times New Roman" w:cs="Times New Roman" w:hAnsi="Times New Roman"/>
          <w:sz w:val="24"/>
          <w:szCs w:val="24"/>
        </w:rPr>
        <w:footnoteReference w:id="242"/>
      </w:r>
    </w:p>
    <w:bookmarkStart w:id="33" w:name="_Toc233678238"/>
    <w:p w14:paraId="39A9B244">
      <w:pPr>
        <w:pStyle w:val="style3"/>
        <w:rPr/>
      </w:pPr>
      <w:r>
        <w:t>2.</w:t>
      </w:r>
      <w:r>
        <w:rPr>
          <w:lang w:val="en-US"/>
        </w:rPr>
        <w:t>5</w:t>
      </w:r>
      <w:r>
        <w:t xml:space="preserve">.2 </w:t>
      </w:r>
      <w:r>
        <w:tab/>
      </w:r>
      <w:r>
        <w:t>Gestational Surrogacy</w:t>
      </w:r>
      <w:bookmarkEnd w:id="33"/>
    </w:p>
    <w:p w14:paraId="512732C7">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Gestational surrogacy occurs where the surrogate carries an embryo to which she has no genetic link.</w:t>
      </w:r>
      <w:r>
        <w:rPr>
          <w:rStyle w:val="style38"/>
          <w:rFonts w:ascii="Times New Roman" w:cs="Times New Roman" w:hAnsi="Times New Roman"/>
          <w:sz w:val="24"/>
          <w:szCs w:val="24"/>
        </w:rPr>
        <w:footnoteReference w:id="243"/>
      </w:r>
      <w:r>
        <w:rPr>
          <w:rFonts w:ascii="Times New Roman" w:cs="Times New Roman" w:hAnsi="Times New Roman"/>
          <w:sz w:val="24"/>
          <w:szCs w:val="24"/>
        </w:rPr>
        <w:t xml:space="preserve"> This is most common model in regulated fertility practice. It was also central to </w:t>
      </w:r>
      <w:r>
        <w:rPr>
          <w:rStyle w:val="style87"/>
          <w:rFonts w:ascii="Times New Roman" w:cs="Times New Roman" w:hAnsi="Times New Roman"/>
          <w:b w:val="false"/>
          <w:i/>
          <w:iCs/>
          <w:sz w:val="24"/>
          <w:szCs w:val="24"/>
        </w:rPr>
        <w:t>Johnson v Calvert</w:t>
      </w:r>
      <w:r>
        <w:rPr>
          <w:rFonts w:ascii="Times New Roman" w:cs="Times New Roman" w:hAnsi="Times New Roman"/>
          <w:sz w:val="24"/>
          <w:szCs w:val="24"/>
        </w:rPr>
        <w:t>,</w:t>
      </w:r>
      <w:r>
        <w:rPr>
          <w:rStyle w:val="style38"/>
          <w:rFonts w:ascii="Times New Roman" w:cs="Times New Roman" w:hAnsi="Times New Roman"/>
          <w:sz w:val="24"/>
          <w:szCs w:val="24"/>
        </w:rPr>
        <w:footnoteReference w:id="244"/>
      </w:r>
      <w:r>
        <w:rPr>
          <w:rFonts w:ascii="Times New Roman" w:cs="Times New Roman" w:hAnsi="Times New Roman"/>
          <w:sz w:val="24"/>
          <w:szCs w:val="24"/>
        </w:rPr>
        <w:t xml:space="preserve"> where the court privileged intended parenthood supported by genetic connection. Gestational surrogacy is legally easier because the surrogate is “only” the carrier.</w:t>
      </w:r>
      <w:r>
        <w:rPr>
          <w:rStyle w:val="style38"/>
          <w:rFonts w:ascii="Times New Roman" w:cs="Times New Roman" w:hAnsi="Times New Roman"/>
          <w:sz w:val="24"/>
          <w:szCs w:val="24"/>
        </w:rPr>
        <w:footnoteReference w:id="245"/>
      </w:r>
      <w:r>
        <w:rPr>
          <w:rFonts w:ascii="Times New Roman" w:cs="Times New Roman" w:hAnsi="Times New Roman"/>
          <w:sz w:val="24"/>
          <w:szCs w:val="24"/>
        </w:rPr>
        <w:t xml:space="preserve"> However, that formulation may be overly reductionist.</w:t>
      </w:r>
      <w:r>
        <w:rPr>
          <w:rStyle w:val="style38"/>
          <w:rFonts w:ascii="Times New Roman" w:cs="Times New Roman" w:hAnsi="Times New Roman"/>
          <w:sz w:val="24"/>
          <w:szCs w:val="24"/>
        </w:rPr>
        <w:footnoteReference w:id="246"/>
      </w:r>
      <w:r>
        <w:rPr>
          <w:rFonts w:ascii="Times New Roman" w:cs="Times New Roman" w:hAnsi="Times New Roman"/>
          <w:sz w:val="24"/>
          <w:szCs w:val="24"/>
        </w:rPr>
        <w:t xml:space="preserve"> Even so, gestation should not be </w:t>
      </w:r>
      <w:r>
        <w:rPr>
          <w:rFonts w:ascii="Times New Roman" w:cs="Times New Roman" w:hAnsi="Times New Roman"/>
          <w:sz w:val="24"/>
          <w:szCs w:val="24"/>
          <w:lang w:val="en-US"/>
        </w:rPr>
        <w:t>minimized</w:t>
      </w:r>
      <w:r>
        <w:rPr>
          <w:rFonts w:ascii="Times New Roman" w:cs="Times New Roman" w:hAnsi="Times New Roman"/>
          <w:sz w:val="24"/>
          <w:szCs w:val="24"/>
        </w:rPr>
        <w:t>.</w:t>
      </w:r>
      <w:r>
        <w:rPr>
          <w:rStyle w:val="style38"/>
          <w:rFonts w:ascii="Times New Roman" w:cs="Times New Roman" w:hAnsi="Times New Roman"/>
          <w:sz w:val="24"/>
          <w:szCs w:val="24"/>
        </w:rPr>
        <w:footnoteReference w:id="247"/>
      </w:r>
      <w:r>
        <w:rPr>
          <w:rFonts w:ascii="Times New Roman" w:cs="Times New Roman" w:hAnsi="Times New Roman"/>
          <w:sz w:val="24"/>
          <w:szCs w:val="24"/>
        </w:rPr>
        <w:t xml:space="preserve"> This is because gestational labour and bodily risk are not irrelevant legally.</w:t>
      </w:r>
      <w:r>
        <w:rPr>
          <w:rStyle w:val="style38"/>
          <w:rFonts w:ascii="Times New Roman" w:cs="Times New Roman" w:hAnsi="Times New Roman"/>
          <w:sz w:val="24"/>
          <w:szCs w:val="24"/>
        </w:rPr>
        <w:footnoteReference w:id="248"/>
      </w:r>
    </w:p>
    <w:bookmarkStart w:id="34" w:name="_Toc233678239"/>
    <w:p w14:paraId="6F6C7EB3">
      <w:pPr>
        <w:pStyle w:val="style3"/>
        <w:rPr/>
      </w:pPr>
      <w:r>
        <w:t>2.</w:t>
      </w:r>
      <w:r>
        <w:rPr>
          <w:lang w:val="en-US"/>
        </w:rPr>
        <w:t>5</w:t>
      </w:r>
      <w:r>
        <w:t xml:space="preserve">.3 </w:t>
      </w:r>
      <w:r>
        <w:tab/>
      </w:r>
      <w:r>
        <w:t>Altruistic Surrogacy</w:t>
      </w:r>
      <w:bookmarkEnd w:id="34"/>
    </w:p>
    <w:p w14:paraId="33291C0A">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Altruistic surrogacy involves situations in which the surrogate does not receive a financial compensation for her services</w:t>
      </w:r>
      <w:r>
        <w:rPr>
          <w:rStyle w:val="style38"/>
          <w:rFonts w:ascii="Times New Roman" w:cs="Times New Roman" w:hAnsi="Times New Roman"/>
          <w:sz w:val="24"/>
          <w:szCs w:val="24"/>
        </w:rPr>
        <w:footnoteReference w:id="249"/>
      </w:r>
      <w:r>
        <w:rPr>
          <w:rFonts w:ascii="Times New Roman" w:cs="Times New Roman" w:hAnsi="Times New Roman"/>
          <w:sz w:val="24"/>
          <w:szCs w:val="24"/>
        </w:rPr>
        <w:t xml:space="preserve"> Many jurisdictions regard this as more acceptable ethically.</w:t>
      </w:r>
      <w:r>
        <w:rPr>
          <w:rStyle w:val="style38"/>
          <w:rFonts w:ascii="Times New Roman" w:cs="Times New Roman" w:hAnsi="Times New Roman"/>
          <w:sz w:val="24"/>
          <w:szCs w:val="24"/>
        </w:rPr>
        <w:footnoteReference w:id="250"/>
      </w:r>
      <w:r>
        <w:rPr>
          <w:rFonts w:ascii="Times New Roman" w:cs="Times New Roman" w:hAnsi="Times New Roman"/>
          <w:sz w:val="24"/>
          <w:szCs w:val="24"/>
        </w:rPr>
        <w:t xml:space="preserve"> This is because it reduces commodification.</w:t>
      </w:r>
      <w:r>
        <w:rPr>
          <w:rStyle w:val="style38"/>
          <w:rFonts w:ascii="Times New Roman" w:cs="Times New Roman" w:hAnsi="Times New Roman"/>
          <w:sz w:val="24"/>
          <w:szCs w:val="24"/>
        </w:rPr>
        <w:footnoteReference w:id="251"/>
      </w:r>
      <w:r>
        <w:rPr>
          <w:rFonts w:ascii="Times New Roman" w:cs="Times New Roman" w:hAnsi="Times New Roman"/>
          <w:sz w:val="24"/>
          <w:szCs w:val="24"/>
        </w:rPr>
        <w:t xml:space="preserve"> Yet the altruistic/commercial distinction should not be </w:t>
      </w:r>
      <w:r>
        <w:rPr>
          <w:rFonts w:ascii="Times New Roman" w:cs="Times New Roman" w:hAnsi="Times New Roman"/>
          <w:sz w:val="24"/>
          <w:szCs w:val="24"/>
          <w:lang w:val="en-US"/>
        </w:rPr>
        <w:t>romanticized</w:t>
      </w:r>
      <w:r>
        <w:rPr>
          <w:rFonts w:ascii="Times New Roman" w:cs="Times New Roman" w:hAnsi="Times New Roman"/>
          <w:sz w:val="24"/>
          <w:szCs w:val="24"/>
        </w:rPr>
        <w:t>.</w:t>
      </w:r>
      <w:r>
        <w:rPr>
          <w:rStyle w:val="style38"/>
          <w:rFonts w:ascii="Times New Roman" w:cs="Times New Roman" w:hAnsi="Times New Roman"/>
          <w:sz w:val="24"/>
          <w:szCs w:val="24"/>
        </w:rPr>
        <w:footnoteReference w:id="252"/>
      </w:r>
      <w:r>
        <w:rPr>
          <w:rFonts w:ascii="Times New Roman" w:cs="Times New Roman" w:hAnsi="Times New Roman"/>
          <w:sz w:val="24"/>
          <w:szCs w:val="24"/>
        </w:rPr>
        <w:t xml:space="preserve"> Even “altruistic” surrogacy may involve subtle coercion, or inequality.</w:t>
      </w:r>
      <w:r>
        <w:rPr>
          <w:rStyle w:val="style38"/>
          <w:rFonts w:ascii="Times New Roman" w:cs="Times New Roman" w:hAnsi="Times New Roman"/>
          <w:sz w:val="24"/>
          <w:szCs w:val="24"/>
        </w:rPr>
        <w:footnoteReference w:id="253"/>
      </w:r>
      <w:r>
        <w:rPr>
          <w:rFonts w:ascii="Times New Roman" w:cs="Times New Roman" w:hAnsi="Times New Roman"/>
          <w:sz w:val="24"/>
          <w:szCs w:val="24"/>
        </w:rPr>
        <w:t xml:space="preserve"> Moreover, the absence of a fee does not remove the legal issues of parentage, consent, medical risk, and child status.</w:t>
      </w:r>
      <w:r>
        <w:rPr>
          <w:rStyle w:val="style38"/>
          <w:rFonts w:ascii="Times New Roman" w:cs="Times New Roman" w:hAnsi="Times New Roman"/>
          <w:sz w:val="24"/>
          <w:szCs w:val="24"/>
        </w:rPr>
        <w:footnoteReference w:id="254"/>
      </w:r>
      <w:r>
        <w:rPr>
          <w:rFonts w:ascii="Times New Roman" w:cs="Times New Roman" w:hAnsi="Times New Roman"/>
          <w:sz w:val="24"/>
          <w:szCs w:val="24"/>
        </w:rPr>
        <w:t xml:space="preserve"> In Nigeria, proposals to regulate surrogacy often favour stronger restrictions on commercial arrangements.</w:t>
      </w:r>
      <w:r>
        <w:rPr>
          <w:rStyle w:val="style38"/>
          <w:rFonts w:ascii="Times New Roman" w:cs="Times New Roman" w:hAnsi="Times New Roman"/>
          <w:sz w:val="24"/>
          <w:szCs w:val="24"/>
        </w:rPr>
        <w:footnoteReference w:id="255"/>
      </w:r>
      <w:r>
        <w:rPr>
          <w:rFonts w:ascii="Times New Roman" w:cs="Times New Roman" w:hAnsi="Times New Roman"/>
          <w:i/>
          <w:iCs/>
          <w:sz w:val="24"/>
          <w:szCs w:val="24"/>
        </w:rPr>
        <w:t>The Women's Health and Surrogacy Protection Bill, 2025</w:t>
      </w:r>
      <w:r>
        <w:rPr>
          <w:rFonts w:ascii="Times New Roman" w:cs="Times New Roman" w:hAnsi="Times New Roman"/>
          <w:sz w:val="24"/>
          <w:szCs w:val="24"/>
        </w:rPr>
        <w:t xml:space="preserve"> embraces this framework by banning commercial surrogacy and allowing only selfless agreements.</w:t>
      </w:r>
      <w:r>
        <w:rPr>
          <w:rStyle w:val="style38"/>
          <w:rFonts w:ascii="Times New Roman" w:cs="Times New Roman" w:hAnsi="Times New Roman"/>
          <w:sz w:val="24"/>
          <w:szCs w:val="24"/>
        </w:rPr>
        <w:footnoteReference w:id="256"/>
      </w:r>
      <w:r>
        <w:rPr>
          <w:rFonts w:ascii="Times New Roman" w:cs="Times New Roman" w:hAnsi="Times New Roman"/>
          <w:sz w:val="24"/>
          <w:szCs w:val="24"/>
        </w:rPr>
        <w:t xml:space="preserve"> Although the Bill clearly </w:t>
      </w:r>
      <w:r>
        <w:rPr>
          <w:rFonts w:ascii="Times New Roman" w:cs="Times New Roman" w:hAnsi="Times New Roman"/>
          <w:sz w:val="24"/>
          <w:szCs w:val="24"/>
          <w:lang w:val="en-US"/>
        </w:rPr>
        <w:t>favors</w:t>
      </w:r>
      <w:r>
        <w:rPr>
          <w:rFonts w:ascii="Times New Roman" w:cs="Times New Roman" w:hAnsi="Times New Roman"/>
          <w:sz w:val="24"/>
          <w:szCs w:val="24"/>
        </w:rPr>
        <w:t xml:space="preserve"> altruistic surrogacy, it does not provide an express definition of the term in its interpretation section.</w:t>
      </w:r>
      <w:r>
        <w:rPr>
          <w:rStyle w:val="style38"/>
          <w:rFonts w:ascii="Times New Roman" w:cs="Times New Roman" w:hAnsi="Times New Roman"/>
          <w:sz w:val="24"/>
          <w:szCs w:val="24"/>
        </w:rPr>
        <w:footnoteReference w:id="257"/>
      </w:r>
      <w:r>
        <w:rPr>
          <w:rFonts w:ascii="Times New Roman" w:cs="Times New Roman" w:hAnsi="Times New Roman"/>
          <w:sz w:val="24"/>
          <w:szCs w:val="24"/>
        </w:rPr>
        <w:t xml:space="preserve"> The Bill seeks to protect surrogates from exploitation while permitting surrogacy for legitimate reproductive purposes.</w:t>
      </w:r>
      <w:r>
        <w:rPr>
          <w:rStyle w:val="style38"/>
          <w:rFonts w:ascii="Times New Roman" w:cs="Times New Roman" w:hAnsi="Times New Roman"/>
          <w:sz w:val="24"/>
          <w:szCs w:val="24"/>
        </w:rPr>
        <w:footnoteReference w:id="258"/>
      </w:r>
      <w:r>
        <w:rPr>
          <w:rFonts w:ascii="Times New Roman" w:cs="Times New Roman" w:hAnsi="Times New Roman"/>
          <w:sz w:val="24"/>
          <w:szCs w:val="24"/>
        </w:rPr>
        <w:t xml:space="preserve"> It therefore reflects a policy preference for ethical and non-commercial reproductive assistance.</w:t>
      </w:r>
      <w:r>
        <w:rPr>
          <w:rStyle w:val="style38"/>
          <w:rFonts w:ascii="Times New Roman" w:cs="Times New Roman" w:hAnsi="Times New Roman"/>
          <w:sz w:val="24"/>
          <w:szCs w:val="24"/>
        </w:rPr>
        <w:footnoteReference w:id="259"/>
      </w:r>
      <w:r>
        <w:rPr>
          <w:rFonts w:ascii="Times New Roman" w:cs="Times New Roman" w:hAnsi="Times New Roman"/>
        </w:rPr>
        <w:t xml:space="preserve"> </w:t>
      </w:r>
      <w:r>
        <w:rPr>
          <w:rFonts w:ascii="Times New Roman" w:cs="Times New Roman" w:hAnsi="Times New Roman"/>
          <w:sz w:val="24"/>
          <w:szCs w:val="24"/>
        </w:rPr>
        <w:t>Altruistic surrogacy describes a surrogacy agreement where the surrogate does not receive any monetary compensation aside from reimbursement for reasonable costs associated with pregnancy and childbirth.</w:t>
      </w:r>
      <w:r>
        <w:rPr>
          <w:rStyle w:val="style38"/>
          <w:rFonts w:ascii="Times New Roman" w:cs="Times New Roman" w:hAnsi="Times New Roman"/>
          <w:sz w:val="24"/>
          <w:szCs w:val="24"/>
        </w:rPr>
        <w:footnoteReference w:id="260"/>
      </w:r>
      <w:r>
        <w:rPr>
          <w:rFonts w:ascii="Times New Roman" w:cs="Times New Roman" w:hAnsi="Times New Roman"/>
          <w:sz w:val="24"/>
          <w:szCs w:val="24"/>
        </w:rPr>
        <w:t xml:space="preserve"> The principal motivation is assistance rather than profit.</w:t>
      </w:r>
      <w:r>
        <w:rPr>
          <w:rStyle w:val="style38"/>
          <w:rFonts w:ascii="Times New Roman" w:cs="Times New Roman" w:hAnsi="Times New Roman"/>
          <w:sz w:val="24"/>
          <w:szCs w:val="24"/>
        </w:rPr>
        <w:footnoteReference w:id="261"/>
      </w:r>
      <w:r>
        <w:rPr>
          <w:rFonts w:ascii="Times New Roman" w:cs="Times New Roman" w:hAnsi="Times New Roman"/>
          <w:i/>
          <w:iCs/>
          <w:sz w:val="24"/>
          <w:szCs w:val="24"/>
        </w:rPr>
        <w:t>The Women's Health and Surrogacy Protection Bill, 2025</w:t>
      </w:r>
      <w:r>
        <w:rPr>
          <w:rFonts w:ascii="Times New Roman" w:cs="Times New Roman" w:hAnsi="Times New Roman"/>
          <w:sz w:val="24"/>
          <w:szCs w:val="24"/>
        </w:rPr>
        <w:t xml:space="preserve"> adopts this model by prohibiting commercial surrogacy and permitting only </w:t>
      </w:r>
      <w:r>
        <w:rPr>
          <w:rFonts w:ascii="Times New Roman" w:cs="Times New Roman" w:hAnsi="Times New Roman"/>
          <w:sz w:val="24"/>
          <w:szCs w:val="24"/>
          <w:lang w:val="en-US"/>
        </w:rPr>
        <w:t>altruistic</w:t>
      </w:r>
      <w:r>
        <w:rPr>
          <w:rFonts w:ascii="Times New Roman" w:cs="Times New Roman" w:hAnsi="Times New Roman"/>
          <w:sz w:val="24"/>
          <w:szCs w:val="24"/>
        </w:rPr>
        <w:t xml:space="preserve"> arrangements.</w:t>
      </w:r>
      <w:r>
        <w:rPr>
          <w:rStyle w:val="style38"/>
          <w:rFonts w:ascii="Times New Roman" w:cs="Times New Roman" w:hAnsi="Times New Roman"/>
          <w:sz w:val="24"/>
          <w:szCs w:val="24"/>
        </w:rPr>
        <w:footnoteReference w:id="262"/>
      </w:r>
      <w:r>
        <w:rPr>
          <w:rFonts w:ascii="Times New Roman" w:cs="Times New Roman" w:hAnsi="Times New Roman"/>
          <w:sz w:val="24"/>
          <w:szCs w:val="24"/>
        </w:rPr>
        <w:t xml:space="preserve"> Although the Bill clearly favours altruistic surrogacy, it does not provide an express definition of the term in its interpretation section.</w:t>
      </w:r>
      <w:r>
        <w:rPr>
          <w:rStyle w:val="style38"/>
          <w:rFonts w:ascii="Times New Roman" w:cs="Times New Roman" w:hAnsi="Times New Roman"/>
          <w:sz w:val="24"/>
          <w:szCs w:val="24"/>
        </w:rPr>
        <w:footnoteReference w:id="263"/>
      </w:r>
    </w:p>
    <w:bookmarkStart w:id="35" w:name="_Toc233678240"/>
    <w:p w14:paraId="3FA8BB32">
      <w:pPr>
        <w:pStyle w:val="style3"/>
        <w:rPr/>
      </w:pPr>
      <w:r>
        <w:t>2.</w:t>
      </w:r>
      <w:r>
        <w:rPr>
          <w:lang w:val="en-US"/>
        </w:rPr>
        <w:t>5</w:t>
      </w:r>
      <w:r>
        <w:t xml:space="preserve">.4 </w:t>
      </w:r>
      <w:r>
        <w:tab/>
      </w:r>
      <w:r>
        <w:t>Commercial Surrogacy</w:t>
      </w:r>
      <w:bookmarkEnd w:id="35"/>
    </w:p>
    <w:p w14:paraId="0DBF9B5C">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Commercial surrogacy involves compensation beyond reasonable expenses.</w:t>
      </w:r>
      <w:r>
        <w:rPr>
          <w:rStyle w:val="style38"/>
          <w:rFonts w:ascii="Times New Roman" w:cs="Times New Roman" w:hAnsi="Times New Roman"/>
          <w:sz w:val="24"/>
          <w:szCs w:val="24"/>
        </w:rPr>
        <w:footnoteReference w:id="264"/>
      </w:r>
      <w:r>
        <w:rPr>
          <w:rFonts w:ascii="Times New Roman" w:cs="Times New Roman" w:hAnsi="Times New Roman"/>
          <w:sz w:val="24"/>
          <w:szCs w:val="24"/>
        </w:rPr>
        <w:t xml:space="preserve"> It is the most controversial model because it raises concerns about exploitation and commodification of children.</w:t>
      </w:r>
      <w:r>
        <w:rPr>
          <w:rStyle w:val="style38"/>
          <w:rFonts w:ascii="Times New Roman" w:cs="Times New Roman" w:hAnsi="Times New Roman"/>
          <w:sz w:val="24"/>
          <w:szCs w:val="24"/>
        </w:rPr>
        <w:footnoteReference w:id="265"/>
      </w:r>
      <w:r>
        <w:rPr>
          <w:rFonts w:ascii="Times New Roman" w:cs="Times New Roman" w:hAnsi="Times New Roman"/>
          <w:sz w:val="24"/>
          <w:szCs w:val="24"/>
        </w:rPr>
        <w:t xml:space="preserve"> Yet prohibition alone may not solve these concerns.</w:t>
      </w:r>
      <w:r>
        <w:rPr>
          <w:rStyle w:val="style38"/>
          <w:rFonts w:ascii="Times New Roman" w:cs="Times New Roman" w:hAnsi="Times New Roman"/>
          <w:sz w:val="24"/>
          <w:szCs w:val="24"/>
        </w:rPr>
        <w:footnoteReference w:id="266"/>
      </w:r>
      <w:r>
        <w:rPr>
          <w:rFonts w:ascii="Times New Roman" w:cs="Times New Roman" w:hAnsi="Times New Roman"/>
          <w:sz w:val="24"/>
          <w:szCs w:val="24"/>
        </w:rPr>
        <w:t xml:space="preserve"> Rather, it may instead push arrangements underground or offshore.</w:t>
      </w:r>
      <w:r>
        <w:rPr>
          <w:rStyle w:val="style38"/>
          <w:rFonts w:ascii="Times New Roman" w:cs="Times New Roman" w:hAnsi="Times New Roman"/>
          <w:sz w:val="24"/>
          <w:szCs w:val="24"/>
        </w:rPr>
        <w:footnoteReference w:id="267"/>
      </w:r>
      <w:r>
        <w:rPr>
          <w:rFonts w:ascii="Times New Roman" w:cs="Times New Roman" w:hAnsi="Times New Roman"/>
          <w:sz w:val="24"/>
          <w:szCs w:val="24"/>
        </w:rPr>
        <w:t xml:space="preserve"> Recent commentaries suggests that commercial surrogacy debates should focus less on moral panic and more on whether the law effectively protects women and children from abuse as well as prevents trafficking orcoercion.</w:t>
      </w:r>
      <w:r>
        <w:rPr>
          <w:rStyle w:val="style38"/>
          <w:rFonts w:ascii="Times New Roman" w:cs="Times New Roman" w:hAnsi="Times New Roman"/>
          <w:sz w:val="24"/>
          <w:szCs w:val="24"/>
        </w:rPr>
        <w:footnoteReference w:id="268"/>
      </w:r>
      <w:r>
        <w:rPr>
          <w:rFonts w:ascii="Times New Roman" w:cs="Times New Roman" w:hAnsi="Times New Roman"/>
          <w:sz w:val="24"/>
          <w:szCs w:val="24"/>
        </w:rPr>
        <w:t xml:space="preserve"> In 2025, a bill was introduced in the Federal house of Representative in Nigeria to </w:t>
      </w:r>
      <w:r>
        <w:rPr>
          <w:rFonts w:ascii="Times New Roman" w:cs="Times New Roman" w:hAnsi="Times New Roman"/>
          <w:sz w:val="24"/>
          <w:szCs w:val="24"/>
          <w:lang w:val="en-US"/>
        </w:rPr>
        <w:t>criminalize</w:t>
      </w:r>
      <w:r>
        <w:rPr>
          <w:rFonts w:ascii="Times New Roman" w:cs="Times New Roman" w:hAnsi="Times New Roman"/>
          <w:sz w:val="24"/>
          <w:szCs w:val="24"/>
        </w:rPr>
        <w:t xml:space="preserve"> or regulate commercial surrogacy tightly.</w:t>
      </w:r>
      <w:r>
        <w:rPr>
          <w:rStyle w:val="style38"/>
          <w:rFonts w:ascii="Times New Roman" w:cs="Times New Roman" w:hAnsi="Times New Roman"/>
          <w:sz w:val="24"/>
          <w:szCs w:val="24"/>
        </w:rPr>
        <w:footnoteReference w:id="269"/>
      </w:r>
      <w:r>
        <w:rPr>
          <w:rFonts w:ascii="Times New Roman" w:cs="Times New Roman" w:hAnsi="Times New Roman"/>
        </w:rPr>
        <w:t xml:space="preserve"> </w:t>
      </w:r>
      <w:r>
        <w:rPr>
          <w:rFonts w:ascii="Times New Roman" w:cs="Times New Roman" w:hAnsi="Times New Roman"/>
          <w:sz w:val="24"/>
          <w:szCs w:val="24"/>
        </w:rPr>
        <w:t>Commercial surrogacy refers to a surrogacy agreement where the surrogate is paid a fee that exceeds the reimbursement for typical pregnancy-related costs.</w:t>
      </w:r>
      <w:r>
        <w:rPr>
          <w:rStyle w:val="style38"/>
          <w:rFonts w:ascii="Times New Roman" w:cs="Times New Roman" w:hAnsi="Times New Roman"/>
          <w:sz w:val="24"/>
          <w:szCs w:val="24"/>
        </w:rPr>
        <w:footnoteReference w:id="270"/>
      </w:r>
      <w:r>
        <w:rPr>
          <w:rFonts w:ascii="Times New Roman" w:cs="Times New Roman" w:hAnsi="Times New Roman"/>
          <w:sz w:val="24"/>
          <w:szCs w:val="24"/>
        </w:rPr>
        <w:t xml:space="preserve"> It treats gestational services as a remunerated activity and is often distinguished from altruistic surrogacy.</w:t>
      </w:r>
      <w:r>
        <w:rPr>
          <w:rStyle w:val="style38"/>
          <w:rFonts w:ascii="Times New Roman" w:cs="Times New Roman" w:hAnsi="Times New Roman"/>
          <w:sz w:val="24"/>
          <w:szCs w:val="24"/>
        </w:rPr>
        <w:footnoteReference w:id="271"/>
      </w:r>
      <w:r>
        <w:rPr>
          <w:rFonts w:ascii="Times New Roman" w:cs="Times New Roman" w:hAnsi="Times New Roman"/>
          <w:i/>
          <w:iCs/>
          <w:sz w:val="24"/>
          <w:szCs w:val="24"/>
        </w:rPr>
        <w:t>The Surrogacy Bill 2024</w:t>
      </w:r>
      <w:r>
        <w:rPr>
          <w:rFonts w:ascii="Times New Roman" w:cs="Times New Roman" w:hAnsi="Times New Roman"/>
          <w:sz w:val="24"/>
          <w:szCs w:val="24"/>
        </w:rPr>
        <w:t xml:space="preserve"> prohibits commercial surrogacy and imposes penalties on persons who engage in it.</w:t>
      </w:r>
      <w:r>
        <w:rPr>
          <w:rStyle w:val="style38"/>
          <w:rFonts w:ascii="Times New Roman" w:cs="Times New Roman" w:hAnsi="Times New Roman"/>
          <w:sz w:val="24"/>
          <w:szCs w:val="24"/>
        </w:rPr>
        <w:footnoteReference w:id="272"/>
      </w:r>
      <w:r>
        <w:rPr>
          <w:rFonts w:ascii="Times New Roman" w:cs="Times New Roman" w:hAnsi="Times New Roman"/>
          <w:sz w:val="24"/>
          <w:szCs w:val="24"/>
        </w:rPr>
        <w:t xml:space="preserve"> Nonetheless, the Bill lacks a comprehensive legal definition of commercial surrogacy.</w:t>
      </w:r>
      <w:r>
        <w:rPr>
          <w:rStyle w:val="style38"/>
          <w:rFonts w:ascii="Times New Roman" w:cs="Times New Roman" w:hAnsi="Times New Roman"/>
          <w:sz w:val="24"/>
          <w:szCs w:val="24"/>
        </w:rPr>
        <w:footnoteReference w:id="273"/>
      </w:r>
    </w:p>
    <w:bookmarkStart w:id="36" w:name="_Toc233678241"/>
    <w:p w14:paraId="4FE39F42">
      <w:pPr>
        <w:pStyle w:val="style2"/>
        <w:rPr/>
      </w:pPr>
      <w:r>
        <w:t xml:space="preserve">2.6 </w:t>
      </w:r>
      <w:r>
        <w:tab/>
      </w:r>
      <w:r>
        <w:t>Concept of Child Rights</w:t>
      </w:r>
      <w:bookmarkEnd w:id="36"/>
    </w:p>
    <w:p w14:paraId="473CB22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Child rights refer to the bundle of legally protected interests and entitlements that belong to the child who is a rights-bearing person.</w:t>
      </w:r>
      <w:r>
        <w:rPr>
          <w:rStyle w:val="style38"/>
          <w:rFonts w:ascii="Times New Roman" w:cs="Times New Roman" w:hAnsi="Times New Roman"/>
          <w:sz w:val="24"/>
          <w:szCs w:val="24"/>
        </w:rPr>
        <w:footnoteReference w:id="274"/>
      </w:r>
      <w:r>
        <w:rPr>
          <w:rFonts w:ascii="Times New Roman" w:cs="Times New Roman" w:hAnsi="Times New Roman"/>
          <w:sz w:val="24"/>
          <w:szCs w:val="24"/>
        </w:rPr>
        <w:t xml:space="preserve"> This departs from older legal traditions that treated children as objects of parental authority or as appendages of family status.</w:t>
      </w:r>
      <w:r>
        <w:rPr>
          <w:rStyle w:val="style38"/>
          <w:rFonts w:ascii="Times New Roman" w:cs="Times New Roman" w:hAnsi="Times New Roman"/>
          <w:sz w:val="24"/>
          <w:szCs w:val="24"/>
        </w:rPr>
        <w:footnoteReference w:id="275"/>
      </w:r>
      <w:r>
        <w:rPr>
          <w:rFonts w:ascii="Times New Roman" w:cs="Times New Roman" w:hAnsi="Times New Roman"/>
          <w:sz w:val="24"/>
          <w:szCs w:val="24"/>
        </w:rPr>
        <w:t xml:space="preserve"> Modern </w:t>
      </w:r>
      <w:r>
        <w:rPr>
          <w:rFonts w:ascii="Times New Roman" w:cs="Times New Roman" w:hAnsi="Times New Roman"/>
          <w:sz w:val="24"/>
          <w:szCs w:val="24"/>
          <w:lang w:val="en-US"/>
        </w:rPr>
        <w:t>legislation</w:t>
      </w:r>
      <w:r>
        <w:rPr>
          <w:rFonts w:ascii="Times New Roman" w:cs="Times New Roman" w:hAnsi="Times New Roman"/>
          <w:sz w:val="24"/>
          <w:szCs w:val="24"/>
        </w:rPr>
        <w:t xml:space="preserve"> note that a child is a distinct legal subject whose welfare, dignity, identity, and development deserve direct protection.</w:t>
      </w:r>
      <w:r>
        <w:rPr>
          <w:rStyle w:val="style38"/>
          <w:rFonts w:ascii="Times New Roman" w:cs="Times New Roman" w:hAnsi="Times New Roman"/>
          <w:sz w:val="24"/>
          <w:szCs w:val="24"/>
        </w:rPr>
        <w:footnoteReference w:id="276"/>
      </w:r>
      <w:r>
        <w:rPr>
          <w:rFonts w:ascii="Times New Roman" w:cs="Times New Roman" w:hAnsi="Times New Roman"/>
          <w:sz w:val="24"/>
          <w:szCs w:val="24"/>
        </w:rPr>
        <w:t xml:space="preserve"> In Nigeria, this shift is reflected in the </w:t>
      </w:r>
      <w:r>
        <w:rPr>
          <w:rFonts w:ascii="Times New Roman" w:cs="Times New Roman" w:hAnsi="Times New Roman"/>
          <w:i/>
          <w:iCs/>
          <w:sz w:val="24"/>
          <w:szCs w:val="24"/>
        </w:rPr>
        <w:t>Child’s Rights Act 2003.</w:t>
      </w:r>
      <w:r>
        <w:rPr>
          <w:rStyle w:val="style38"/>
          <w:rFonts w:ascii="Times New Roman" w:cs="Times New Roman" w:hAnsi="Times New Roman"/>
          <w:sz w:val="24"/>
          <w:szCs w:val="24"/>
        </w:rPr>
        <w:footnoteReference w:id="277"/>
      </w:r>
      <w:r>
        <w:rPr>
          <w:rFonts w:ascii="Times New Roman" w:cs="Times New Roman" w:hAnsi="Times New Roman"/>
          <w:sz w:val="24"/>
          <w:szCs w:val="24"/>
        </w:rPr>
        <w:t xml:space="preserve"> The Act prioritises the child's best interest in every action related to the child.</w:t>
      </w:r>
      <w:r>
        <w:rPr>
          <w:rStyle w:val="style38"/>
          <w:rFonts w:ascii="Times New Roman" w:cs="Times New Roman" w:hAnsi="Times New Roman"/>
          <w:sz w:val="24"/>
          <w:szCs w:val="24"/>
        </w:rPr>
        <w:footnoteReference w:id="278"/>
      </w:r>
      <w:r>
        <w:rPr>
          <w:rFonts w:ascii="Times New Roman" w:cs="Times New Roman" w:hAnsi="Times New Roman"/>
          <w:sz w:val="24"/>
          <w:szCs w:val="24"/>
        </w:rPr>
        <w:t xml:space="preserve"> It goes on to guarantee survival and development,</w:t>
      </w:r>
      <w:r>
        <w:rPr>
          <w:rStyle w:val="style38"/>
          <w:rFonts w:ascii="Times New Roman" w:cs="Times New Roman" w:hAnsi="Times New Roman"/>
          <w:sz w:val="24"/>
          <w:szCs w:val="24"/>
        </w:rPr>
        <w:footnoteReference w:id="279"/>
      </w:r>
      <w:r>
        <w:rPr>
          <w:rFonts w:ascii="Times New Roman" w:cs="Times New Roman" w:hAnsi="Times New Roman"/>
          <w:sz w:val="24"/>
          <w:szCs w:val="24"/>
        </w:rPr>
        <w:t xml:space="preserve"> name,</w:t>
      </w:r>
      <w:r>
        <w:rPr>
          <w:rStyle w:val="style38"/>
          <w:rFonts w:ascii="Times New Roman" w:cs="Times New Roman" w:hAnsi="Times New Roman"/>
          <w:sz w:val="24"/>
          <w:szCs w:val="24"/>
        </w:rPr>
        <w:footnoteReference w:id="280"/>
      </w:r>
      <w:r>
        <w:rPr>
          <w:rFonts w:ascii="Times New Roman" w:cs="Times New Roman" w:hAnsi="Times New Roman"/>
          <w:sz w:val="24"/>
          <w:szCs w:val="24"/>
        </w:rPr>
        <w:t xml:space="preserve"> private and family life,</w:t>
      </w:r>
      <w:r>
        <w:rPr>
          <w:rStyle w:val="style38"/>
          <w:rFonts w:ascii="Times New Roman" w:cs="Times New Roman" w:hAnsi="Times New Roman"/>
          <w:sz w:val="24"/>
          <w:szCs w:val="24"/>
        </w:rPr>
        <w:footnoteReference w:id="281"/>
      </w:r>
      <w:r>
        <w:rPr>
          <w:rFonts w:ascii="Times New Roman" w:cs="Times New Roman" w:hAnsi="Times New Roman"/>
          <w:sz w:val="24"/>
          <w:szCs w:val="24"/>
        </w:rPr>
        <w:t xml:space="preserve"> education,</w:t>
      </w:r>
      <w:r>
        <w:rPr>
          <w:rStyle w:val="style38"/>
          <w:rFonts w:ascii="Times New Roman" w:cs="Times New Roman" w:hAnsi="Times New Roman"/>
          <w:sz w:val="24"/>
          <w:szCs w:val="24"/>
        </w:rPr>
        <w:footnoteReference w:id="282"/>
      </w:r>
      <w:r>
        <w:rPr>
          <w:rFonts w:ascii="Times New Roman" w:cs="Times New Roman" w:hAnsi="Times New Roman"/>
          <w:sz w:val="24"/>
          <w:szCs w:val="24"/>
        </w:rPr>
        <w:t xml:space="preserve"> and protection from harm.</w:t>
      </w:r>
      <w:r>
        <w:rPr>
          <w:rStyle w:val="style38"/>
          <w:rFonts w:ascii="Times New Roman" w:cs="Times New Roman" w:hAnsi="Times New Roman"/>
          <w:sz w:val="24"/>
          <w:szCs w:val="24"/>
        </w:rPr>
        <w:footnoteReference w:id="283"/>
      </w:r>
    </w:p>
    <w:p w14:paraId="394BF4B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"best interests of the child" serves as a fundamental principle and a framework for interpretation.</w:t>
      </w:r>
      <w:r>
        <w:rPr>
          <w:rStyle w:val="style38"/>
          <w:rFonts w:ascii="Times New Roman" w:cs="Times New Roman" w:hAnsi="Times New Roman"/>
          <w:sz w:val="24"/>
          <w:szCs w:val="24"/>
        </w:rPr>
        <w:footnoteReference w:id="284"/>
      </w:r>
      <w:r>
        <w:rPr>
          <w:rFonts w:ascii="Times New Roman" w:cs="Times New Roman" w:hAnsi="Times New Roman"/>
          <w:sz w:val="24"/>
          <w:szCs w:val="24"/>
        </w:rPr>
        <w:t xml:space="preserve"> Substantively, it requires the court or the state to </w:t>
      </w:r>
      <w:r>
        <w:rPr>
          <w:rFonts w:ascii="Times New Roman" w:cs="Times New Roman" w:hAnsi="Times New Roman"/>
          <w:sz w:val="24"/>
          <w:szCs w:val="24"/>
          <w:lang w:val="en-US"/>
        </w:rPr>
        <w:t>prioritize</w:t>
      </w:r>
      <w:r>
        <w:rPr>
          <w:rFonts w:ascii="Times New Roman" w:cs="Times New Roman" w:hAnsi="Times New Roman"/>
          <w:sz w:val="24"/>
          <w:szCs w:val="24"/>
        </w:rPr>
        <w:t xml:space="preserve"> the  welfare, development, and protection of the child.</w:t>
      </w:r>
      <w:r>
        <w:rPr>
          <w:rStyle w:val="style38"/>
          <w:rFonts w:ascii="Times New Roman" w:cs="Times New Roman" w:hAnsi="Times New Roman"/>
          <w:sz w:val="24"/>
          <w:szCs w:val="24"/>
        </w:rPr>
        <w:footnoteReference w:id="285"/>
      </w:r>
      <w:r>
        <w:rPr>
          <w:rFonts w:ascii="Times New Roman" w:cs="Times New Roman" w:hAnsi="Times New Roman"/>
          <w:sz w:val="24"/>
          <w:szCs w:val="24"/>
        </w:rPr>
        <w:t xml:space="preserve"> Interpretively, it allows statutes and legal presumptions to be read in a child-centred manner where literal application would produce hardship.</w:t>
      </w:r>
      <w:r>
        <w:rPr>
          <w:rStyle w:val="style38"/>
          <w:rFonts w:ascii="Times New Roman" w:cs="Times New Roman" w:hAnsi="Times New Roman"/>
          <w:sz w:val="24"/>
          <w:szCs w:val="24"/>
        </w:rPr>
        <w:footnoteReference w:id="286"/>
      </w:r>
      <w:r>
        <w:rPr>
          <w:rFonts w:ascii="Times New Roman" w:cs="Times New Roman" w:hAnsi="Times New Roman"/>
          <w:i/>
          <w:iCs/>
          <w:sz w:val="24"/>
          <w:szCs w:val="24"/>
        </w:rPr>
        <w:t>Section 71 of the MCA</w:t>
      </w:r>
      <w:r>
        <w:rPr>
          <w:rFonts w:ascii="Times New Roman" w:cs="Times New Roman" w:hAnsi="Times New Roman"/>
          <w:sz w:val="24"/>
          <w:szCs w:val="24"/>
        </w:rPr>
        <w:t xml:space="preserve"> directs the court to regard the interests of the children of the marriage as the paramount consideration in proceedings on custody, guardianship, welfare, advancement, or education.</w:t>
      </w:r>
      <w:r>
        <w:rPr>
          <w:rStyle w:val="style38"/>
          <w:rFonts w:ascii="Times New Roman" w:cs="Times New Roman" w:hAnsi="Times New Roman"/>
          <w:sz w:val="24"/>
          <w:szCs w:val="24"/>
        </w:rPr>
        <w:footnoteReference w:id="287"/>
      </w:r>
      <w:r>
        <w:rPr>
          <w:rFonts w:ascii="Times New Roman" w:cs="Times New Roman" w:hAnsi="Times New Roman"/>
          <w:i/>
          <w:iCs/>
          <w:sz w:val="24"/>
          <w:szCs w:val="24"/>
        </w:rPr>
        <w:t xml:space="preserve">Section 1 of the Child’s Rights Act </w:t>
      </w:r>
      <w:r>
        <w:rPr>
          <w:rFonts w:ascii="Times New Roman" w:cs="Times New Roman" w:hAnsi="Times New Roman"/>
          <w:sz w:val="24"/>
          <w:szCs w:val="24"/>
        </w:rPr>
        <w:t>reinforces the same orientation across judicial, administrative, and legislative actions</w:t>
      </w:r>
      <w:r>
        <w:rPr>
          <w:rStyle w:val="style38"/>
          <w:rFonts w:ascii="Times New Roman" w:cs="Times New Roman" w:hAnsi="Times New Roman"/>
          <w:sz w:val="24"/>
          <w:szCs w:val="24"/>
        </w:rPr>
        <w:footnoteReference w:id="288"/>
      </w:r>
      <w:r>
        <w:rPr>
          <w:rFonts w:ascii="Times New Roman" w:cs="Times New Roman" w:hAnsi="Times New Roman"/>
          <w:sz w:val="24"/>
          <w:szCs w:val="24"/>
        </w:rPr>
        <w:t xml:space="preserve">. In </w:t>
      </w:r>
      <w:r>
        <w:rPr>
          <w:rStyle w:val="style87"/>
          <w:rFonts w:ascii="Times New Roman" w:cs="Times New Roman" w:hAnsi="Times New Roman"/>
          <w:b w:val="false"/>
          <w:i/>
          <w:iCs/>
          <w:sz w:val="24"/>
          <w:szCs w:val="24"/>
        </w:rPr>
        <w:t>Williams v Williams</w:t>
      </w:r>
      <w:r>
        <w:rPr>
          <w:rFonts w:ascii="Times New Roman" w:cs="Times New Roman" w:hAnsi="Times New Roman"/>
          <w:i/>
          <w:iCs/>
          <w:sz w:val="24"/>
          <w:szCs w:val="24"/>
        </w:rPr>
        <w:t>,</w:t>
      </w:r>
      <w:r>
        <w:rPr>
          <w:rStyle w:val="style38"/>
          <w:rFonts w:ascii="Times New Roman" w:cs="Times New Roman" w:hAnsi="Times New Roman"/>
          <w:sz w:val="24"/>
          <w:szCs w:val="24"/>
        </w:rPr>
        <w:footnoteReference w:id="289"/>
      </w:r>
      <w:r>
        <w:rPr>
          <w:rFonts w:ascii="Times New Roman" w:cs="Times New Roman" w:hAnsi="Times New Roman"/>
          <w:sz w:val="24"/>
          <w:szCs w:val="24"/>
        </w:rPr>
        <w:t xml:space="preserve"> the Supreme Court held that custody is not a reward for one parent nor a punishment for the other. </w:t>
      </w:r>
    </w:p>
    <w:p w14:paraId="0184029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Going further, </w:t>
      </w:r>
      <w:r>
        <w:rPr>
          <w:rFonts w:ascii="Times New Roman" w:cs="Times New Roman" w:hAnsi="Times New Roman"/>
          <w:i/>
          <w:iCs/>
          <w:sz w:val="24"/>
          <w:szCs w:val="24"/>
        </w:rPr>
        <w:t xml:space="preserve">section 42 of the </w:t>
      </w:r>
      <w:r>
        <w:rPr>
          <w:rFonts w:ascii="Times New Roman" w:cs="Times New Roman" w:hAnsi="Times New Roman"/>
          <w:i/>
          <w:iCs/>
          <w:sz w:val="24"/>
          <w:szCs w:val="24"/>
          <w:lang w:val="en-US"/>
        </w:rPr>
        <w:t xml:space="preserve">1999 </w:t>
      </w:r>
      <w:r>
        <w:rPr>
          <w:rFonts w:ascii="Times New Roman" w:cs="Times New Roman" w:hAnsi="Times New Roman"/>
          <w:i/>
          <w:iCs/>
          <w:sz w:val="24"/>
          <w:szCs w:val="24"/>
        </w:rPr>
        <w:t xml:space="preserve">Constitution </w:t>
      </w:r>
      <w:r>
        <w:rPr>
          <w:rFonts w:ascii="Times New Roman" w:cs="Times New Roman" w:hAnsi="Times New Roman"/>
          <w:sz w:val="24"/>
          <w:szCs w:val="24"/>
        </w:rPr>
        <w:t>prohibits disability or deprivation by reason of the circumstances of a person’s birth.</w:t>
      </w:r>
      <w:r>
        <w:rPr>
          <w:rStyle w:val="style38"/>
          <w:rFonts w:ascii="Times New Roman" w:cs="Times New Roman" w:hAnsi="Times New Roman"/>
          <w:sz w:val="24"/>
          <w:szCs w:val="24"/>
        </w:rPr>
        <w:footnoteReference w:id="290"/>
      </w:r>
      <w:r>
        <w:rPr>
          <w:rFonts w:ascii="Times New Roman" w:cs="Times New Roman" w:hAnsi="Times New Roman"/>
          <w:sz w:val="24"/>
          <w:szCs w:val="24"/>
        </w:rPr>
        <w:t xml:space="preserve">  This is relevant to children born through surrogacy and ART.</w:t>
      </w:r>
      <w:r>
        <w:rPr>
          <w:rStyle w:val="style38"/>
          <w:rFonts w:ascii="Times New Roman" w:cs="Times New Roman" w:hAnsi="Times New Roman"/>
          <w:sz w:val="24"/>
          <w:szCs w:val="24"/>
        </w:rPr>
        <w:footnoteReference w:id="291"/>
      </w:r>
      <w:r>
        <w:rPr>
          <w:rFonts w:ascii="Times New Roman" w:cs="Times New Roman" w:hAnsi="Times New Roman"/>
          <w:sz w:val="24"/>
          <w:szCs w:val="24"/>
        </w:rPr>
        <w:t xml:space="preserve"> Likewise, </w:t>
      </w:r>
      <w:r>
        <w:rPr>
          <w:rFonts w:ascii="Times New Roman" w:cs="Times New Roman" w:hAnsi="Times New Roman"/>
          <w:i/>
          <w:iCs/>
          <w:sz w:val="24"/>
          <w:szCs w:val="24"/>
        </w:rPr>
        <w:t xml:space="preserve">section 37 of the </w:t>
      </w:r>
      <w:r>
        <w:rPr>
          <w:rFonts w:ascii="Times New Roman" w:cs="Times New Roman" w:hAnsi="Times New Roman"/>
          <w:i/>
          <w:iCs/>
          <w:sz w:val="24"/>
          <w:szCs w:val="24"/>
          <w:lang w:val="en-US"/>
        </w:rPr>
        <w:t xml:space="preserve">1999 </w:t>
      </w:r>
      <w:r>
        <w:rPr>
          <w:rFonts w:ascii="Times New Roman" w:cs="Times New Roman" w:hAnsi="Times New Roman"/>
          <w:i/>
          <w:iCs/>
          <w:sz w:val="24"/>
          <w:szCs w:val="24"/>
        </w:rPr>
        <w:t>Constitution</w:t>
      </w:r>
      <w:r>
        <w:rPr>
          <w:rFonts w:ascii="Times New Roman" w:cs="Times New Roman" w:hAnsi="Times New Roman"/>
          <w:sz w:val="24"/>
          <w:szCs w:val="24"/>
        </w:rPr>
        <w:t xml:space="preserve"> guarantees private and family life.</w:t>
      </w:r>
      <w:r>
        <w:rPr>
          <w:rStyle w:val="style38"/>
          <w:rFonts w:ascii="Times New Roman" w:cs="Times New Roman" w:hAnsi="Times New Roman"/>
          <w:sz w:val="24"/>
          <w:szCs w:val="24"/>
        </w:rPr>
        <w:footnoteReference w:id="292"/>
      </w:r>
      <w:r>
        <w:rPr>
          <w:rFonts w:ascii="Times New Roman" w:cs="Times New Roman" w:hAnsi="Times New Roman"/>
          <w:sz w:val="24"/>
          <w:szCs w:val="24"/>
        </w:rPr>
        <w:t xml:space="preserve"> This provision protects formation of family and reproductive confidentiality though it must be balanced against transparency and identity rights where the child’s interests are engaged.</w:t>
      </w:r>
      <w:r>
        <w:rPr>
          <w:rStyle w:val="style38"/>
          <w:rFonts w:ascii="Times New Roman" w:cs="Times New Roman" w:hAnsi="Times New Roman"/>
          <w:sz w:val="24"/>
          <w:szCs w:val="24"/>
        </w:rPr>
        <w:footnoteReference w:id="293"/>
      </w:r>
      <w:r>
        <w:rPr>
          <w:rFonts w:ascii="Times New Roman" w:cs="Times New Roman" w:hAnsi="Times New Roman"/>
          <w:sz w:val="24"/>
          <w:szCs w:val="24"/>
        </w:rPr>
        <w:t xml:space="preserve"> In </w:t>
      </w:r>
      <w:r>
        <w:rPr>
          <w:rStyle w:val="style87"/>
          <w:rFonts w:ascii="Times New Roman" w:cs="Times New Roman" w:hAnsi="Times New Roman"/>
          <w:b w:val="false"/>
          <w:i/>
          <w:iCs/>
          <w:sz w:val="24"/>
          <w:szCs w:val="24"/>
        </w:rPr>
        <w:t>Mojekwu v Mojekwu</w:t>
      </w:r>
      <w:r>
        <w:rPr>
          <w:rStyle w:val="style38"/>
          <w:rFonts w:ascii="Times New Roman" w:cs="Times New Roman" w:hAnsi="Times New Roman"/>
          <w:bCs/>
          <w:sz w:val="24"/>
          <w:szCs w:val="24"/>
        </w:rPr>
        <w:footnoteReference w:id="294"/>
      </w:r>
      <w:r>
        <w:rPr>
          <w:rFonts w:ascii="Times New Roman" w:cs="Times New Roman" w:hAnsi="Times New Roman"/>
          <w:sz w:val="24"/>
          <w:szCs w:val="24"/>
        </w:rPr>
        <w:t xml:space="preserve"> and </w:t>
      </w:r>
      <w:r>
        <w:rPr>
          <w:rStyle w:val="style87"/>
          <w:rFonts w:ascii="Times New Roman" w:cs="Times New Roman" w:hAnsi="Times New Roman"/>
          <w:b w:val="false"/>
          <w:i/>
          <w:iCs/>
          <w:sz w:val="24"/>
          <w:szCs w:val="24"/>
        </w:rPr>
        <w:t>Ukeje v Ukeje</w:t>
      </w:r>
      <w:r>
        <w:rPr>
          <w:rFonts w:ascii="Times New Roman" w:cs="Times New Roman" w:hAnsi="Times New Roman"/>
          <w:sz w:val="24"/>
          <w:szCs w:val="24"/>
        </w:rPr>
        <w:t>,</w:t>
      </w:r>
      <w:r>
        <w:rPr>
          <w:rStyle w:val="style38"/>
          <w:rFonts w:ascii="Times New Roman" w:cs="Times New Roman" w:hAnsi="Times New Roman"/>
          <w:sz w:val="24"/>
          <w:szCs w:val="24"/>
        </w:rPr>
        <w:footnoteReference w:id="295"/>
      </w:r>
      <w:r>
        <w:rPr>
          <w:rFonts w:ascii="Times New Roman" w:cs="Times New Roman" w:hAnsi="Times New Roman"/>
          <w:sz w:val="24"/>
          <w:szCs w:val="24"/>
        </w:rPr>
        <w:t xml:space="preserve"> the court adopted the principles of constitutional equality in family contexts. It condemned customary rules which affect women and female children in succession.</w:t>
      </w:r>
      <w:r>
        <w:rPr>
          <w:rStyle w:val="style38"/>
          <w:rFonts w:ascii="Times New Roman" w:cs="Times New Roman" w:hAnsi="Times New Roman"/>
          <w:sz w:val="24"/>
          <w:szCs w:val="24"/>
        </w:rPr>
        <w:footnoteReference w:id="296"/>
      </w:r>
      <w:r>
        <w:rPr>
          <w:rFonts w:ascii="Times New Roman" w:cs="Times New Roman" w:hAnsi="Times New Roman"/>
          <w:sz w:val="24"/>
          <w:szCs w:val="24"/>
        </w:rPr>
        <w:t xml:space="preserve"> This reinforces the proposition that family law cannot remain insulated from equality under the constitution.</w:t>
      </w:r>
      <w:r>
        <w:rPr>
          <w:rStyle w:val="style38"/>
          <w:rFonts w:ascii="Times New Roman" w:cs="Times New Roman" w:hAnsi="Times New Roman"/>
          <w:sz w:val="24"/>
          <w:szCs w:val="24"/>
        </w:rPr>
        <w:footnoteReference w:id="297"/>
      </w:r>
      <w:r>
        <w:rPr>
          <w:rFonts w:ascii="Times New Roman" w:cs="Times New Roman" w:hAnsi="Times New Roman"/>
          <w:sz w:val="24"/>
          <w:szCs w:val="24"/>
        </w:rPr>
        <w:t xml:space="preserve"> Indeed, these cases were not about ART.</w:t>
      </w:r>
      <w:r>
        <w:rPr>
          <w:rStyle w:val="style38"/>
          <w:rFonts w:ascii="Times New Roman" w:cs="Times New Roman" w:hAnsi="Times New Roman"/>
          <w:sz w:val="24"/>
          <w:szCs w:val="24"/>
        </w:rPr>
        <w:footnoteReference w:id="298"/>
      </w:r>
      <w:r>
        <w:rPr>
          <w:rFonts w:ascii="Times New Roman" w:cs="Times New Roman" w:hAnsi="Times New Roman"/>
          <w:sz w:val="24"/>
          <w:szCs w:val="24"/>
        </w:rPr>
        <w:t xml:space="preserve"> However, their reasoning is relevant to any surrogacy regime that might </w:t>
      </w:r>
      <w:r>
        <w:rPr>
          <w:rFonts w:ascii="Times New Roman" w:cs="Times New Roman" w:hAnsi="Times New Roman"/>
          <w:sz w:val="24"/>
          <w:szCs w:val="24"/>
          <w:lang w:val="en-US"/>
        </w:rPr>
        <w:t>marginalize</w:t>
      </w:r>
      <w:r>
        <w:rPr>
          <w:rFonts w:ascii="Times New Roman" w:cs="Times New Roman" w:hAnsi="Times New Roman"/>
          <w:sz w:val="24"/>
          <w:szCs w:val="24"/>
        </w:rPr>
        <w:t xml:space="preserve"> children or women because of custom, gender, or circumstances of birth.</w:t>
      </w:r>
      <w:r>
        <w:rPr>
          <w:rStyle w:val="style38"/>
          <w:rFonts w:ascii="Times New Roman" w:cs="Times New Roman" w:hAnsi="Times New Roman"/>
          <w:sz w:val="24"/>
          <w:szCs w:val="24"/>
        </w:rPr>
        <w:footnoteReference w:id="299"/>
      </w:r>
    </w:p>
    <w:p w14:paraId="50FD061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However, a critical point is that child rights in family law are not exhausted by welfare rhetoric.</w:t>
      </w:r>
      <w:r>
        <w:rPr>
          <w:rStyle w:val="style38"/>
          <w:rFonts w:ascii="Times New Roman" w:cs="Times New Roman" w:hAnsi="Times New Roman"/>
          <w:sz w:val="24"/>
          <w:szCs w:val="24"/>
        </w:rPr>
        <w:footnoteReference w:id="300"/>
      </w:r>
      <w:r>
        <w:rPr>
          <w:rFonts w:ascii="Times New Roman" w:cs="Times New Roman" w:hAnsi="Times New Roman"/>
          <w:sz w:val="24"/>
          <w:szCs w:val="24"/>
        </w:rPr>
        <w:t xml:space="preserve"> Welfare may sometimes be invoked in a vague or paternalistic way.</w:t>
      </w:r>
      <w:r>
        <w:rPr>
          <w:rStyle w:val="style38"/>
          <w:rFonts w:ascii="Times New Roman" w:cs="Times New Roman" w:hAnsi="Times New Roman"/>
          <w:sz w:val="24"/>
          <w:szCs w:val="24"/>
        </w:rPr>
        <w:footnoteReference w:id="301"/>
      </w:r>
      <w:r>
        <w:rPr>
          <w:rFonts w:ascii="Times New Roman" w:cs="Times New Roman" w:hAnsi="Times New Roman"/>
          <w:sz w:val="24"/>
          <w:szCs w:val="24"/>
        </w:rPr>
        <w:t xml:space="preserve"> A more rigorous approach requires identifying the concrete rights at stake</w:t>
      </w:r>
      <w:r>
        <w:rPr>
          <w:rFonts w:ascii="Times New Roman" w:cs="Times New Roman" w:hAnsi="Times New Roman"/>
          <w:sz w:val="24"/>
          <w:szCs w:val="24"/>
          <w:lang w:val="en-US"/>
        </w:rPr>
        <w:t xml:space="preserve">, these rights include, </w:t>
      </w:r>
      <w:r>
        <w:rPr>
          <w:rFonts w:ascii="Times New Roman" w:cs="Times New Roman" w:hAnsi="Times New Roman"/>
          <w:sz w:val="24"/>
          <w:szCs w:val="24"/>
        </w:rPr>
        <w:t>the right to identity,</w:t>
      </w:r>
      <w:r>
        <w:rPr>
          <w:rStyle w:val="style38"/>
          <w:rFonts w:ascii="Times New Roman" w:cs="Times New Roman" w:hAnsi="Times New Roman"/>
          <w:sz w:val="24"/>
          <w:szCs w:val="24"/>
        </w:rPr>
        <w:footnoteReference w:id="302"/>
      </w:r>
      <w:r>
        <w:rPr>
          <w:rFonts w:ascii="Times New Roman" w:cs="Times New Roman" w:hAnsi="Times New Roman"/>
          <w:sz w:val="24"/>
          <w:szCs w:val="24"/>
        </w:rPr>
        <w:t xml:space="preserve"> the right to family life,</w:t>
      </w:r>
      <w:r>
        <w:rPr>
          <w:rStyle w:val="style38"/>
          <w:rFonts w:ascii="Times New Roman" w:cs="Times New Roman" w:hAnsi="Times New Roman"/>
          <w:sz w:val="24"/>
          <w:szCs w:val="24"/>
        </w:rPr>
        <w:footnoteReference w:id="303"/>
      </w:r>
      <w:r>
        <w:rPr>
          <w:rFonts w:ascii="Times New Roman" w:cs="Times New Roman" w:hAnsi="Times New Roman"/>
          <w:sz w:val="24"/>
          <w:szCs w:val="24"/>
        </w:rPr>
        <w:t xml:space="preserve"> the right to registration,</w:t>
      </w:r>
      <w:r>
        <w:rPr>
          <w:rStyle w:val="style38"/>
          <w:rFonts w:ascii="Times New Roman" w:cs="Times New Roman" w:hAnsi="Times New Roman"/>
          <w:sz w:val="24"/>
          <w:szCs w:val="24"/>
        </w:rPr>
        <w:footnoteReference w:id="304"/>
      </w:r>
      <w:r>
        <w:rPr>
          <w:rFonts w:ascii="Times New Roman" w:cs="Times New Roman" w:hAnsi="Times New Roman"/>
          <w:sz w:val="24"/>
          <w:szCs w:val="24"/>
        </w:rPr>
        <w:t xml:space="preserve"> the right not to be discriminated against</w:t>
      </w:r>
      <w:r>
        <w:rPr>
          <w:rStyle w:val="style38"/>
          <w:rFonts w:ascii="Times New Roman" w:cs="Times New Roman" w:hAnsi="Times New Roman"/>
          <w:sz w:val="24"/>
          <w:szCs w:val="24"/>
        </w:rPr>
        <w:footnoteReference w:id="305"/>
      </w:r>
      <w:r>
        <w:rPr>
          <w:rFonts w:ascii="Times New Roman" w:cs="Times New Roman" w:hAnsi="Times New Roman"/>
          <w:sz w:val="24"/>
          <w:szCs w:val="24"/>
        </w:rPr>
        <w:t xml:space="preserve"> and the right to protection from exploitation and harm.</w:t>
      </w:r>
      <w:r>
        <w:rPr>
          <w:rStyle w:val="style38"/>
          <w:rFonts w:ascii="Times New Roman" w:cs="Times New Roman" w:hAnsi="Times New Roman"/>
          <w:sz w:val="24"/>
          <w:szCs w:val="24"/>
        </w:rPr>
        <w:footnoteReference w:id="306"/>
      </w:r>
      <w:r>
        <w:rPr>
          <w:rFonts w:ascii="Times New Roman" w:cs="Times New Roman" w:hAnsi="Times New Roman"/>
          <w:i/>
          <w:iCs/>
          <w:sz w:val="24"/>
          <w:szCs w:val="24"/>
        </w:rPr>
        <w:t xml:space="preserve">Section 5 of the Child’s Rights Act </w:t>
      </w:r>
      <w:r>
        <w:rPr>
          <w:rFonts w:ascii="Times New Roman" w:cs="Times New Roman" w:hAnsi="Times New Roman"/>
          <w:sz w:val="24"/>
          <w:szCs w:val="24"/>
        </w:rPr>
        <w:t>secures the right to a name;</w:t>
      </w:r>
      <w:r>
        <w:rPr>
          <w:rStyle w:val="style38"/>
          <w:rFonts w:ascii="Times New Roman" w:cs="Times New Roman" w:hAnsi="Times New Roman"/>
          <w:sz w:val="24"/>
          <w:szCs w:val="24"/>
        </w:rPr>
        <w:footnoteReference w:id="307"/>
      </w:r>
      <w:r>
        <w:rPr>
          <w:rFonts w:ascii="Times New Roman" w:cs="Times New Roman" w:hAnsi="Times New Roman"/>
          <w:i/>
          <w:iCs/>
          <w:sz w:val="24"/>
          <w:szCs w:val="24"/>
        </w:rPr>
        <w:t>section 8</w:t>
      </w:r>
      <w:r>
        <w:rPr>
          <w:rFonts w:ascii="Times New Roman" w:cs="Times New Roman" w:hAnsi="Times New Roman"/>
          <w:sz w:val="24"/>
          <w:szCs w:val="24"/>
          <w:lang w:val="en-US"/>
        </w:rPr>
        <w:t>recognizes</w:t>
      </w:r>
      <w:r>
        <w:rPr>
          <w:rFonts w:ascii="Times New Roman" w:cs="Times New Roman" w:hAnsi="Times New Roman"/>
          <w:sz w:val="24"/>
          <w:szCs w:val="24"/>
        </w:rPr>
        <w:t xml:space="preserve"> private and family life;</w:t>
      </w:r>
      <w:r>
        <w:rPr>
          <w:rStyle w:val="style38"/>
          <w:rFonts w:ascii="Times New Roman" w:cs="Times New Roman" w:hAnsi="Times New Roman"/>
          <w:sz w:val="24"/>
          <w:szCs w:val="24"/>
        </w:rPr>
        <w:footnoteReference w:id="308"/>
      </w:r>
      <w:r>
        <w:rPr>
          <w:rFonts w:ascii="Times New Roman" w:cs="Times New Roman" w:hAnsi="Times New Roman"/>
          <w:i/>
          <w:iCs/>
          <w:sz w:val="24"/>
          <w:szCs w:val="24"/>
        </w:rPr>
        <w:t>section 17</w:t>
      </w:r>
      <w:r>
        <w:rPr>
          <w:rFonts w:ascii="Times New Roman" w:cs="Times New Roman" w:hAnsi="Times New Roman"/>
          <w:sz w:val="24"/>
          <w:szCs w:val="24"/>
        </w:rPr>
        <w:t xml:space="preserve"> even provides a right of the unborn child to protection against harm.</w:t>
      </w:r>
      <w:r>
        <w:rPr>
          <w:rStyle w:val="style38"/>
          <w:rFonts w:ascii="Times New Roman" w:cs="Times New Roman" w:hAnsi="Times New Roman"/>
          <w:sz w:val="24"/>
          <w:szCs w:val="24"/>
        </w:rPr>
        <w:footnoteReference w:id="309"/>
      </w:r>
      <w:r>
        <w:rPr>
          <w:rFonts w:ascii="Times New Roman" w:cs="Times New Roman" w:hAnsi="Times New Roman"/>
          <w:i/>
          <w:iCs/>
          <w:sz w:val="24"/>
          <w:szCs w:val="24"/>
        </w:rPr>
        <w:t>The Births, Deaths, etc. Act</w:t>
      </w:r>
      <w:r>
        <w:rPr>
          <w:rFonts w:ascii="Times New Roman" w:cs="Times New Roman" w:hAnsi="Times New Roman"/>
          <w:sz w:val="24"/>
          <w:szCs w:val="24"/>
        </w:rPr>
        <w:t xml:space="preserve"> requires every birth to be registered,</w:t>
      </w:r>
      <w:r>
        <w:rPr>
          <w:rStyle w:val="style38"/>
          <w:rFonts w:ascii="Times New Roman" w:cs="Times New Roman" w:hAnsi="Times New Roman"/>
          <w:sz w:val="24"/>
          <w:szCs w:val="24"/>
        </w:rPr>
        <w:footnoteReference w:id="310"/>
      </w:r>
      <w:r>
        <w:rPr>
          <w:rFonts w:ascii="Times New Roman" w:cs="Times New Roman" w:hAnsi="Times New Roman"/>
          <w:sz w:val="24"/>
          <w:szCs w:val="24"/>
        </w:rPr>
        <w:t xml:space="preserve"> and in the case of a child born out of wedlock</w:t>
      </w:r>
      <w:r>
        <w:rPr>
          <w:rStyle w:val="style38"/>
          <w:rFonts w:ascii="Times New Roman" w:cs="Times New Roman" w:hAnsi="Times New Roman"/>
          <w:sz w:val="24"/>
          <w:szCs w:val="24"/>
        </w:rPr>
        <w:footnoteReference w:id="311"/>
      </w:r>
      <w:r>
        <w:rPr>
          <w:rFonts w:ascii="Times New Roman" w:cs="Times New Roman" w:hAnsi="Times New Roman"/>
          <w:sz w:val="24"/>
          <w:szCs w:val="24"/>
        </w:rPr>
        <w:t>it limits how a father may be entered absent acknowledgement or other legal basis.  Recent legal and medical literature supports this child-centred approach.</w:t>
      </w:r>
      <w:r>
        <w:rPr>
          <w:rStyle w:val="style38"/>
          <w:rFonts w:ascii="Times New Roman" w:cs="Times New Roman" w:hAnsi="Times New Roman"/>
          <w:sz w:val="24"/>
          <w:szCs w:val="24"/>
        </w:rPr>
        <w:footnoteReference w:id="312"/>
      </w:r>
      <w:r>
        <w:rPr>
          <w:rFonts w:ascii="Times New Roman" w:cs="Times New Roman" w:hAnsi="Times New Roman"/>
          <w:sz w:val="24"/>
          <w:szCs w:val="24"/>
        </w:rPr>
        <w:t xml:space="preserve"> Ezenwa and others</w:t>
      </w:r>
      <w:r>
        <w:rPr>
          <w:rStyle w:val="style38"/>
          <w:rFonts w:ascii="Times New Roman" w:cs="Times New Roman" w:hAnsi="Times New Roman"/>
          <w:sz w:val="24"/>
          <w:szCs w:val="24"/>
        </w:rPr>
        <w:footnoteReference w:id="313"/>
      </w:r>
      <w:r>
        <w:rPr>
          <w:rFonts w:ascii="Times New Roman" w:cs="Times New Roman" w:hAnsi="Times New Roman"/>
          <w:sz w:val="24"/>
          <w:szCs w:val="24"/>
        </w:rPr>
        <w:t xml:space="preserve"> conducted a clinical reporting on gestational surrogacy and they found that uncertainty about legal status affect immediate decisions concerning treatment, consent, discharge, and naming. The debate is therefore no longer confined to whether surrogacy ismorally acceptable.</w:t>
      </w:r>
      <w:r>
        <w:rPr>
          <w:rStyle w:val="style38"/>
          <w:rFonts w:ascii="Times New Roman" w:cs="Times New Roman" w:hAnsi="Times New Roman"/>
          <w:sz w:val="24"/>
          <w:szCs w:val="24"/>
        </w:rPr>
        <w:footnoteReference w:id="314"/>
      </w:r>
      <w:r>
        <w:rPr>
          <w:rFonts w:ascii="Times New Roman" w:cs="Times New Roman" w:hAnsi="Times New Roman"/>
          <w:sz w:val="24"/>
          <w:szCs w:val="24"/>
        </w:rPr>
        <w:t xml:space="preserve"> It is about whether a child born through surrogacy move through legal systems without status insecurity.</w:t>
      </w:r>
      <w:r>
        <w:rPr>
          <w:rStyle w:val="style38"/>
          <w:rFonts w:ascii="Times New Roman" w:cs="Times New Roman" w:hAnsi="Times New Roman"/>
          <w:sz w:val="24"/>
          <w:szCs w:val="24"/>
        </w:rPr>
        <w:footnoteReference w:id="315"/>
      </w:r>
    </w:p>
    <w:p w14:paraId="0F677BD7">
      <w:pPr>
        <w:pStyle w:val="style0"/>
        <w:spacing w:lineRule="auto" w:line="480"/>
        <w:jc w:val="both"/>
        <w:rPr>
          <w:rFonts w:ascii="Times New Roman" w:cs="Times New Roman" w:hAnsi="Times New Roman"/>
          <w:sz w:val="24"/>
          <w:szCs w:val="24"/>
        </w:rPr>
      </w:pPr>
    </w:p>
    <w:p w14:paraId="1F427734">
      <w:pPr>
        <w:pStyle w:val="style0"/>
        <w:spacing w:lineRule="auto" w:line="480"/>
        <w:jc w:val="both"/>
        <w:rPr>
          <w:rFonts w:ascii="Times New Roman" w:cs="Times New Roman" w:hAnsi="Times New Roman"/>
          <w:b/>
          <w:bCs/>
          <w:sz w:val="24"/>
          <w:szCs w:val="24"/>
        </w:rPr>
      </w:pPr>
    </w:p>
    <w:bookmarkStart w:id="37" w:name="_Toc233678242"/>
    <w:p w14:paraId="2659D8AE">
      <w:pPr>
        <w:pStyle w:val="style2"/>
        <w:rPr/>
      </w:pPr>
      <w:r>
        <w:t xml:space="preserve">2.7 </w:t>
      </w:r>
      <w:r>
        <w:tab/>
      </w:r>
      <w:r>
        <w:t>Conceptual Clarification of Key Terms</w:t>
      </w:r>
      <w:bookmarkEnd w:id="37"/>
    </w:p>
    <w:p w14:paraId="4D3C796F">
      <w:pPr>
        <w:pStyle w:val="style0"/>
        <w:spacing w:lineRule="auto" w:line="480"/>
        <w:jc w:val="both"/>
        <w:rPr>
          <w:rFonts w:ascii="Times New Roman" w:cs="Times New Roman" w:hAnsi="Times New Roman"/>
          <w:bCs/>
          <w:sz w:val="24"/>
          <w:szCs w:val="24"/>
          <w:lang w:val="en-US"/>
        </w:rPr>
      </w:pPr>
      <w:r>
        <w:rPr>
          <w:rFonts w:ascii="Times New Roman" w:cs="Times New Roman" w:hAnsi="Times New Roman"/>
          <w:bCs/>
          <w:sz w:val="24"/>
          <w:szCs w:val="24"/>
          <w:lang w:val="en-US"/>
        </w:rPr>
        <w:t>Several key concepts used in this study are not expressly defined under existing Nigerian laws or legislative proposals on ART and surrogacy. Accordingly, the definitions adopted are drawn from comparative legislation, judicial decisions and scholarly literature to ensure conceptual clarity and analytical consistency.</w:t>
      </w:r>
    </w:p>
    <w:bookmarkStart w:id="38" w:name="_Toc233678243"/>
    <w:p w14:paraId="3F246B56">
      <w:pPr>
        <w:pStyle w:val="style3"/>
        <w:rPr/>
      </w:pPr>
      <w:r>
        <w:rPr>
          <w:lang w:val="en-US"/>
        </w:rPr>
        <w:t xml:space="preserve">2.7.1 </w:t>
      </w:r>
      <w:r>
        <w:rPr>
          <w:lang w:val="en-US"/>
        </w:rPr>
        <w:tab/>
      </w:r>
      <w:r>
        <w:t>Legal Parent</w:t>
      </w:r>
      <w:bookmarkEnd w:id="38"/>
    </w:p>
    <w:p w14:paraId="0929C561">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 legal parent is an individual whom the law acknowledges as possessing parental rights and obligations concerning a child.</w:t>
      </w:r>
      <w:r>
        <w:rPr>
          <w:rStyle w:val="style38"/>
          <w:rFonts w:ascii="Times New Roman" w:cs="Times New Roman" w:hAnsi="Times New Roman"/>
          <w:sz w:val="24"/>
          <w:szCs w:val="24"/>
        </w:rPr>
        <w:footnoteReference w:id="316"/>
      </w:r>
      <w:r>
        <w:rPr>
          <w:rFonts w:ascii="Times New Roman" w:cs="Times New Roman" w:hAnsi="Times New Roman"/>
          <w:sz w:val="24"/>
          <w:szCs w:val="24"/>
        </w:rPr>
        <w:t xml:space="preserve"> Such rights and responsibilities include custody, maintenance, inheritance, and decision-making concerning the child.</w:t>
      </w:r>
      <w:r>
        <w:rPr>
          <w:rStyle w:val="style38"/>
          <w:rFonts w:ascii="Times New Roman" w:cs="Times New Roman" w:hAnsi="Times New Roman"/>
          <w:sz w:val="24"/>
          <w:szCs w:val="24"/>
        </w:rPr>
        <w:footnoteReference w:id="317"/>
      </w:r>
      <w:r>
        <w:rPr>
          <w:rFonts w:ascii="Times New Roman" w:cs="Times New Roman" w:hAnsi="Times New Roman"/>
          <w:sz w:val="24"/>
          <w:szCs w:val="24"/>
        </w:rPr>
        <w:t xml:space="preserve"> Legal parentage may coincide with biological parentage, but assisted reproduction has demonstrated that the two may differ.</w:t>
      </w:r>
      <w:r>
        <w:rPr>
          <w:rStyle w:val="style38"/>
          <w:rFonts w:ascii="Times New Roman" w:cs="Times New Roman" w:hAnsi="Times New Roman"/>
          <w:sz w:val="24"/>
          <w:szCs w:val="24"/>
        </w:rPr>
        <w:footnoteReference w:id="318"/>
      </w:r>
      <w:r>
        <w:rPr>
          <w:rFonts w:ascii="Times New Roman" w:cs="Times New Roman" w:hAnsi="Times New Roman"/>
          <w:i/>
          <w:iCs/>
          <w:sz w:val="24"/>
          <w:szCs w:val="24"/>
        </w:rPr>
        <w:t>The Surrogacy Bill 2024</w:t>
      </w:r>
      <w:r>
        <w:rPr>
          <w:rFonts w:ascii="Times New Roman" w:cs="Times New Roman" w:hAnsi="Times New Roman"/>
          <w:sz w:val="24"/>
          <w:szCs w:val="24"/>
        </w:rPr>
        <w:t xml:space="preserve"> refers to </w:t>
      </w:r>
      <w:r>
        <w:rPr>
          <w:rFonts w:ascii="Times New Roman" w:cs="Times New Roman" w:hAnsi="Times New Roman"/>
          <w:sz w:val="24"/>
          <w:szCs w:val="24"/>
          <w:lang w:val="en-US"/>
        </w:rPr>
        <w:t>the term “</w:t>
      </w:r>
      <w:r>
        <w:rPr>
          <w:rFonts w:ascii="Times New Roman" w:cs="Times New Roman" w:hAnsi="Times New Roman"/>
          <w:sz w:val="24"/>
          <w:szCs w:val="24"/>
        </w:rPr>
        <w:t>legal parent(s)</w:t>
      </w:r>
      <w:r>
        <w:rPr>
          <w:rFonts w:ascii="Times New Roman" w:cs="Times New Roman" w:hAnsi="Times New Roman"/>
          <w:sz w:val="24"/>
          <w:szCs w:val="24"/>
          <w:lang w:val="en-US"/>
        </w:rPr>
        <w:t>” when trying to explain the term intending parent.</w:t>
      </w:r>
      <w:r>
        <w:rPr>
          <w:rStyle w:val="style38"/>
          <w:rFonts w:ascii="Times New Roman" w:cs="Times New Roman" w:hAnsi="Times New Roman"/>
          <w:sz w:val="24"/>
          <w:szCs w:val="24"/>
        </w:rPr>
        <w:footnoteReference w:id="319"/>
      </w:r>
    </w:p>
    <w:bookmarkStart w:id="39" w:name="_Toc233678244"/>
    <w:p w14:paraId="048E3145">
      <w:pPr>
        <w:pStyle w:val="style3"/>
        <w:rPr>
          <w:lang w:val="en-US"/>
        </w:rPr>
      </w:pPr>
      <w:r>
        <w:rPr>
          <w:lang w:val="en-US"/>
        </w:rPr>
        <w:t xml:space="preserve">2.7.2 </w:t>
      </w:r>
      <w:r>
        <w:rPr>
          <w:lang w:val="en-US"/>
        </w:rPr>
        <w:tab/>
      </w:r>
      <w:r>
        <w:rPr>
          <w:lang w:val="en-US"/>
        </w:rPr>
        <w:t>Intending Parent</w:t>
      </w:r>
      <w:bookmarkEnd w:id="39"/>
      <w:r>
        <w:rPr>
          <w:lang w:val="en-US"/>
        </w:rPr>
        <w:t xml:space="preserve"> </w:t>
      </w:r>
    </w:p>
    <w:p w14:paraId="662B1222">
      <w:pPr>
        <w:pStyle w:val="style0"/>
        <w:spacing w:lineRule="auto" w:line="480"/>
        <w:jc w:val="both"/>
        <w:rPr>
          <w:rFonts w:ascii="Times New Roman" w:cs="Times New Roman" w:hAnsi="Times New Roman"/>
          <w:sz w:val="24"/>
          <w:szCs w:val="24"/>
        </w:rPr>
      </w:pPr>
      <w:r>
        <w:rPr>
          <w:rFonts w:ascii="Times New Roman" w:cs="Times New Roman" w:hAnsi="Times New Roman"/>
          <w:i/>
          <w:iCs/>
          <w:sz w:val="24"/>
          <w:szCs w:val="24"/>
          <w:lang w:val="en-US"/>
        </w:rPr>
        <w:t>The Surrogacy Bill 2024</w:t>
      </w:r>
      <w:r>
        <w:rPr>
          <w:rFonts w:ascii="Times New Roman" w:cs="Times New Roman" w:hAnsi="Times New Roman"/>
          <w:sz w:val="24"/>
          <w:szCs w:val="24"/>
          <w:lang w:val="en-US"/>
        </w:rPr>
        <w:t xml:space="preserve"> describes an intending parent as an individual or couple aiming to assume the legal parental role for a child born via a surrogacy agreement, yet it does not provide a definition for the term.</w:t>
      </w:r>
      <w:r>
        <w:rPr>
          <w:rStyle w:val="style38"/>
          <w:rFonts w:ascii="Times New Roman" w:cs="Times New Roman" w:hAnsi="Times New Roman"/>
          <w:sz w:val="24"/>
          <w:szCs w:val="24"/>
        </w:rPr>
        <w:footnoteReference w:id="320"/>
      </w:r>
    </w:p>
    <w:bookmarkStart w:id="40" w:name="_Toc233678245"/>
    <w:p w14:paraId="27AB9713">
      <w:pPr>
        <w:pStyle w:val="style3"/>
        <w:rPr>
          <w:lang w:val="en-US"/>
        </w:rPr>
      </w:pPr>
      <w:r>
        <w:t>2.</w:t>
      </w:r>
      <w:r>
        <w:rPr>
          <w:lang w:val="en-US"/>
        </w:rPr>
        <w:t xml:space="preserve">7.3 </w:t>
      </w:r>
      <w:r>
        <w:rPr>
          <w:lang w:val="en-US"/>
        </w:rPr>
        <w:tab/>
      </w:r>
      <w:r>
        <w:rPr>
          <w:lang w:val="en-US"/>
        </w:rPr>
        <w:t>Biology and Intention May Converge</w:t>
      </w:r>
      <w:bookmarkEnd w:id="40"/>
    </w:p>
    <w:p w14:paraId="6EF9ADE7">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The expression "biology and intention might align" describes a scenario in which the individuals genetically related to a child are also those who planned to conceive, nurture, and take on legal obligations for that child.</w:t>
      </w:r>
      <w:r>
        <w:rPr>
          <w:rStyle w:val="style38"/>
          <w:rFonts w:ascii="Times New Roman" w:cs="Times New Roman" w:hAnsi="Times New Roman"/>
          <w:sz w:val="24"/>
          <w:szCs w:val="24"/>
          <w:lang w:val="en-US"/>
        </w:rPr>
        <w:footnoteReference w:id="321"/>
      </w:r>
      <w:r>
        <w:rPr>
          <w:rFonts w:ascii="Times New Roman" w:cs="Times New Roman" w:hAnsi="Times New Roman"/>
          <w:sz w:val="24"/>
          <w:szCs w:val="24"/>
          <w:lang w:val="en-US"/>
        </w:rPr>
        <w:t xml:space="preserve"> In many ART, the intending parents contribute the gametes used in conception and plan from the outset to be the child's social and legal parents.</w:t>
      </w:r>
      <w:r>
        <w:rPr>
          <w:rStyle w:val="style38"/>
          <w:rFonts w:ascii="Times New Roman" w:cs="Times New Roman" w:hAnsi="Times New Roman"/>
          <w:sz w:val="24"/>
          <w:szCs w:val="24"/>
          <w:lang w:val="en-US"/>
        </w:rPr>
        <w:footnoteReference w:id="322"/>
      </w:r>
      <w:r>
        <w:rPr>
          <w:rFonts w:ascii="Times New Roman" w:cs="Times New Roman" w:hAnsi="Times New Roman"/>
          <w:sz w:val="24"/>
          <w:szCs w:val="24"/>
          <w:lang w:val="en-US"/>
        </w:rPr>
        <w:t xml:space="preserve"> Consequently, biological parentage and intentional parentage coincide in the same individuals.</w:t>
      </w:r>
      <w:r>
        <w:rPr>
          <w:rStyle w:val="style38"/>
          <w:rFonts w:ascii="Times New Roman" w:cs="Times New Roman" w:hAnsi="Times New Roman"/>
          <w:sz w:val="24"/>
          <w:szCs w:val="24"/>
          <w:lang w:val="en-US"/>
        </w:rPr>
        <w:footnoteReference w:id="323"/>
      </w:r>
      <w:r>
        <w:rPr>
          <w:rFonts w:ascii="Times New Roman" w:cs="Times New Roman" w:hAnsi="Times New Roman"/>
          <w:sz w:val="24"/>
          <w:szCs w:val="24"/>
          <w:lang w:val="en-US"/>
        </w:rPr>
        <w:t xml:space="preserve"> The concept is significant because legal disputes concerning parentage are less likely to arise where biology and intention converge than where they diverge.</w:t>
      </w:r>
      <w:r>
        <w:rPr>
          <w:rStyle w:val="style38"/>
          <w:rFonts w:ascii="Times New Roman" w:cs="Times New Roman" w:hAnsi="Times New Roman"/>
          <w:sz w:val="24"/>
          <w:szCs w:val="24"/>
          <w:lang w:val="en-US"/>
        </w:rPr>
        <w:footnoteReference w:id="324"/>
      </w:r>
    </w:p>
    <w:bookmarkStart w:id="41" w:name="_Toc233678246"/>
    <w:p w14:paraId="1C0D6733">
      <w:pPr>
        <w:pStyle w:val="style3"/>
        <w:rPr>
          <w:lang w:val="en-US"/>
        </w:rPr>
      </w:pPr>
      <w:r>
        <w:rPr>
          <w:lang w:val="en-US"/>
        </w:rPr>
        <w:t xml:space="preserve">2.7.4 </w:t>
      </w:r>
      <w:r>
        <w:rPr>
          <w:lang w:val="en-US"/>
        </w:rPr>
        <w:tab/>
      </w:r>
      <w:r>
        <w:rPr>
          <w:lang w:val="en-US"/>
        </w:rPr>
        <w:t>Gamete</w:t>
      </w:r>
      <w:bookmarkEnd w:id="41"/>
    </w:p>
    <w:p w14:paraId="3A97C914">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 A gamete is a human reproductive cell, namely a sperm or an egg, which contributes genetic material for the creation of an embryo.</w:t>
      </w:r>
      <w:r>
        <w:rPr>
          <w:rStyle w:val="style38"/>
          <w:rFonts w:ascii="Times New Roman" w:cs="Times New Roman" w:hAnsi="Times New Roman"/>
          <w:sz w:val="24"/>
          <w:szCs w:val="24"/>
          <w:lang w:val="en-US"/>
        </w:rPr>
        <w:footnoteReference w:id="325"/>
      </w:r>
      <w:r>
        <w:rPr>
          <w:rFonts w:ascii="Times New Roman" w:cs="Times New Roman" w:hAnsi="Times New Roman"/>
          <w:sz w:val="24"/>
          <w:szCs w:val="24"/>
          <w:lang w:val="en-US"/>
        </w:rPr>
        <w:t xml:space="preserve"> In ART, gametes constitute the genetic material used in procedures such as artificial insemination, in vitro fertilisation (IVF), gamete donation, and embryo creation.</w:t>
      </w:r>
      <w:r>
        <w:rPr>
          <w:rStyle w:val="style38"/>
          <w:rFonts w:ascii="Times New Roman" w:cs="Times New Roman" w:hAnsi="Times New Roman"/>
          <w:sz w:val="24"/>
          <w:szCs w:val="24"/>
          <w:lang w:val="en-US"/>
        </w:rPr>
        <w:footnoteReference w:id="326"/>
      </w:r>
    </w:p>
    <w:bookmarkStart w:id="42" w:name="_Toc233678247"/>
    <w:p w14:paraId="6101E00A">
      <w:pPr>
        <w:pStyle w:val="style3"/>
        <w:rPr>
          <w:lang w:val="en-US"/>
        </w:rPr>
      </w:pPr>
      <w:r>
        <w:rPr>
          <w:lang w:val="en-US"/>
        </w:rPr>
        <w:t xml:space="preserve">2.7.5 </w:t>
      </w:r>
      <w:r>
        <w:rPr>
          <w:lang w:val="en-US"/>
        </w:rPr>
        <w:tab/>
      </w:r>
      <w:r>
        <w:rPr>
          <w:lang w:val="en-US"/>
        </w:rPr>
        <w:t>Donor</w:t>
      </w:r>
      <w:bookmarkEnd w:id="42"/>
      <w:r>
        <w:rPr>
          <w:lang w:val="en-US"/>
        </w:rPr>
        <w:t xml:space="preserve"> </w:t>
      </w:r>
    </w:p>
    <w:p w14:paraId="61652CEC">
      <w:pPr>
        <w:pStyle w:val="style0"/>
        <w:spacing w:lineRule="auto" w:line="480"/>
        <w:jc w:val="both"/>
        <w:rPr>
          <w:rFonts w:ascii="Times New Roman" w:cs="Times New Roman" w:hAnsi="Times New Roman"/>
          <w:bCs/>
          <w:sz w:val="24"/>
          <w:szCs w:val="24"/>
          <w:lang w:val="en-US"/>
        </w:rPr>
      </w:pPr>
      <w:r>
        <w:rPr>
          <w:rFonts w:ascii="Times New Roman" w:cs="Times New Roman" w:hAnsi="Times New Roman"/>
          <w:bCs/>
          <w:sz w:val="24"/>
          <w:szCs w:val="24"/>
        </w:rPr>
        <w:t>A donor refers to a person who provides sperm or eggs for use in assisted reproduction without intending to become the social or legal parent of any resulting child.</w:t>
      </w:r>
      <w:r>
        <w:rPr>
          <w:rStyle w:val="style38"/>
          <w:rFonts w:ascii="Times New Roman" w:cs="Times New Roman" w:hAnsi="Times New Roman"/>
          <w:bCs/>
          <w:sz w:val="24"/>
          <w:szCs w:val="24"/>
        </w:rPr>
        <w:footnoteReference w:id="327"/>
      </w:r>
      <w:r>
        <w:rPr>
          <w:rFonts w:ascii="Times New Roman" w:cs="Times New Roman" w:hAnsi="Times New Roman"/>
          <w:bCs/>
          <w:sz w:val="24"/>
          <w:szCs w:val="24"/>
        </w:rPr>
        <w:t xml:space="preserve"> The donated sperm or eggs may be used in procedures such as artificial insemination or in vitro fertilization (IVF).</w:t>
      </w:r>
      <w:r>
        <w:rPr>
          <w:rStyle w:val="style38"/>
          <w:rFonts w:ascii="Times New Roman" w:cs="Times New Roman" w:hAnsi="Times New Roman"/>
          <w:bCs/>
          <w:sz w:val="24"/>
          <w:szCs w:val="24"/>
        </w:rPr>
        <w:footnoteReference w:id="328"/>
      </w:r>
      <w:r>
        <w:rPr>
          <w:rFonts w:ascii="Times New Roman" w:cs="Times New Roman" w:hAnsi="Times New Roman"/>
          <w:bCs/>
          <w:sz w:val="24"/>
          <w:szCs w:val="24"/>
          <w:lang w:val="en-US"/>
        </w:rPr>
        <w:t xml:space="preserve">According to </w:t>
      </w:r>
      <w:r>
        <w:rPr>
          <w:rFonts w:ascii="Times New Roman" w:cs="Times New Roman" w:hAnsi="Times New Roman"/>
          <w:bCs/>
          <w:i/>
          <w:iCs/>
          <w:sz w:val="24"/>
          <w:szCs w:val="24"/>
          <w:lang w:val="en-US"/>
        </w:rPr>
        <w:t xml:space="preserve">The Assisted Reproductive Technology (Regulation) Bill </w:t>
      </w:r>
      <w:r>
        <w:rPr>
          <w:rFonts w:ascii="Times New Roman" w:cs="Times New Roman" w:hAnsi="Times New Roman"/>
          <w:bCs/>
          <w:sz w:val="24"/>
          <w:szCs w:val="24"/>
          <w:lang w:val="en-US"/>
        </w:rPr>
        <w:t>2026, donor means the donor of a gamete or gametes but does not include the husband who provides the sperm or the wife who provides the oocyte to be used in the process of assisted reproduction for their own use.</w:t>
      </w:r>
      <w:r>
        <w:rPr>
          <w:rStyle w:val="style38"/>
          <w:rFonts w:ascii="Times New Roman" w:cs="Times New Roman" w:hAnsi="Times New Roman"/>
          <w:bCs/>
          <w:sz w:val="24"/>
          <w:szCs w:val="24"/>
          <w:lang w:val="en-US"/>
        </w:rPr>
        <w:footnoteReference w:id="329"/>
      </w:r>
    </w:p>
    <w:p w14:paraId="60914D0F">
      <w:pPr>
        <w:pStyle w:val="style0"/>
        <w:spacing w:lineRule="auto" w:line="480"/>
        <w:jc w:val="both"/>
        <w:rPr>
          <w:rFonts w:ascii="Times New Roman" w:cs="Times New Roman" w:hAnsi="Times New Roman"/>
          <w:bCs/>
          <w:sz w:val="24"/>
          <w:szCs w:val="24"/>
          <w:lang w:val="en-US"/>
        </w:rPr>
      </w:pPr>
    </w:p>
    <w:bookmarkStart w:id="43" w:name="_Toc233678248"/>
    <w:p w14:paraId="7404971A">
      <w:pPr>
        <w:pStyle w:val="style3"/>
        <w:rPr>
          <w:lang w:val="en-US"/>
        </w:rPr>
      </w:pPr>
      <w:r>
        <w:rPr>
          <w:lang w:val="en-US"/>
        </w:rPr>
        <w:t xml:space="preserve">2.7.6 </w:t>
      </w:r>
      <w:r>
        <w:rPr>
          <w:lang w:val="en-US"/>
        </w:rPr>
        <w:tab/>
      </w:r>
      <w:r>
        <w:rPr>
          <w:lang w:val="en-US"/>
        </w:rPr>
        <w:t>Genetic Contributor</w:t>
      </w:r>
      <w:bookmarkEnd w:id="43"/>
    </w:p>
    <w:p w14:paraId="189FA302">
      <w:pPr>
        <w:pStyle w:val="style0"/>
        <w:spacing w:lineRule="auto" w:line="480"/>
        <w:jc w:val="both"/>
        <w:rPr>
          <w:rFonts w:ascii="Times New Roman" w:cs="Times New Roman" w:hAnsi="Times New Roman"/>
          <w:b/>
          <w:sz w:val="24"/>
          <w:szCs w:val="24"/>
          <w:lang w:val="en-US"/>
        </w:rPr>
      </w:pPr>
      <w:r>
        <w:rPr>
          <w:rFonts w:ascii="Times New Roman" w:cs="Times New Roman" w:hAnsi="Times New Roman"/>
          <w:bCs/>
          <w:sz w:val="24"/>
          <w:szCs w:val="24"/>
          <w:lang w:val="en-US"/>
        </w:rPr>
        <w:t>A genetic contributor is a person whose genetic material, such as sperm, eggs, or embryos, contributes to the creation of a child.</w:t>
      </w:r>
      <w:r>
        <w:rPr>
          <w:rStyle w:val="style38"/>
          <w:rFonts w:ascii="Times New Roman" w:cs="Times New Roman" w:hAnsi="Times New Roman"/>
          <w:bCs/>
          <w:sz w:val="24"/>
          <w:szCs w:val="24"/>
          <w:lang w:val="en-US"/>
        </w:rPr>
        <w:footnoteReference w:id="330"/>
      </w:r>
      <w:r>
        <w:rPr>
          <w:rFonts w:ascii="Times New Roman" w:cs="Times New Roman" w:hAnsi="Times New Roman"/>
          <w:bCs/>
          <w:sz w:val="24"/>
          <w:szCs w:val="24"/>
          <w:lang w:val="en-US"/>
        </w:rPr>
        <w:t xml:space="preserve"> The contributor may or may not acquire legal parental status depending on the applicable law.</w:t>
      </w:r>
      <w:r>
        <w:rPr>
          <w:rStyle w:val="style38"/>
          <w:rFonts w:ascii="Times New Roman" w:cs="Times New Roman" w:hAnsi="Times New Roman"/>
          <w:bCs/>
          <w:sz w:val="24"/>
          <w:szCs w:val="24"/>
          <w:lang w:val="en-US"/>
        </w:rPr>
        <w:footnoteReference w:id="331"/>
      </w:r>
      <w:r>
        <w:rPr>
          <w:rFonts w:ascii="Times New Roman" w:cs="Times New Roman" w:hAnsi="Times New Roman"/>
          <w:bCs/>
          <w:sz w:val="24"/>
          <w:szCs w:val="24"/>
          <w:lang w:val="en-US"/>
        </w:rPr>
        <w:t xml:space="preserve"> Neither the</w:t>
      </w:r>
      <w:r>
        <w:rPr>
          <w:rFonts w:ascii="Times New Roman" w:cs="Times New Roman" w:hAnsi="Times New Roman"/>
          <w:bCs/>
          <w:i/>
          <w:iCs/>
          <w:sz w:val="24"/>
          <w:szCs w:val="24"/>
          <w:lang w:val="en-US"/>
        </w:rPr>
        <w:t xml:space="preserve"> Surrogacy Bill 2024</w:t>
      </w:r>
      <w:r>
        <w:rPr>
          <w:rFonts w:ascii="Times New Roman" w:cs="Times New Roman" w:hAnsi="Times New Roman"/>
          <w:bCs/>
          <w:sz w:val="24"/>
          <w:szCs w:val="24"/>
          <w:lang w:val="en-US"/>
        </w:rPr>
        <w:t xml:space="preserve"> nor the </w:t>
      </w:r>
      <w:r>
        <w:rPr>
          <w:rFonts w:ascii="Times New Roman" w:cs="Times New Roman" w:hAnsi="Times New Roman"/>
          <w:bCs/>
          <w:i/>
          <w:iCs/>
          <w:sz w:val="24"/>
          <w:szCs w:val="24"/>
          <w:lang w:val="en-US"/>
        </w:rPr>
        <w:t xml:space="preserve">Human Fertilization and Embryology Regulatory Commission Bill 2024 </w:t>
      </w:r>
      <w:r>
        <w:rPr>
          <w:rStyle w:val="style38"/>
          <w:rFonts w:ascii="Times New Roman" w:cs="Times New Roman" w:hAnsi="Times New Roman"/>
          <w:bCs/>
          <w:sz w:val="24"/>
          <w:szCs w:val="24"/>
          <w:lang w:val="en-US"/>
        </w:rPr>
        <w:footnoteReference w:id="332"/>
      </w:r>
      <w:r>
        <w:rPr>
          <w:rFonts w:ascii="Times New Roman" w:cs="Times New Roman" w:hAnsi="Times New Roman"/>
          <w:bCs/>
          <w:sz w:val="24"/>
          <w:szCs w:val="24"/>
          <w:lang w:val="en-US"/>
        </w:rPr>
        <w:t xml:space="preserve"> expressly defines the term genetic contributor. In comparison, a donor is a specific type of genetic contributor who provides such genetic material without intending to become the social or legal parent of the resulting child.</w:t>
      </w:r>
      <w:r>
        <w:rPr>
          <w:rStyle w:val="style38"/>
          <w:rFonts w:ascii="Times New Roman" w:cs="Times New Roman" w:hAnsi="Times New Roman"/>
          <w:bCs/>
          <w:sz w:val="24"/>
          <w:szCs w:val="24"/>
          <w:lang w:val="en-US"/>
        </w:rPr>
        <w:footnoteReference w:id="333"/>
      </w:r>
      <w:r>
        <w:rPr>
          <w:rFonts w:ascii="Times New Roman" w:cs="Times New Roman" w:hAnsi="Times New Roman"/>
          <w:bCs/>
          <w:sz w:val="24"/>
          <w:szCs w:val="24"/>
          <w:lang w:val="en-US"/>
        </w:rPr>
        <w:t xml:space="preserve"> Accordingly, while every donor is a genetic contributor, not every genetic contributor is a donor.</w:t>
      </w:r>
      <w:r>
        <w:rPr>
          <w:rStyle w:val="style38"/>
          <w:rFonts w:ascii="Times New Roman" w:cs="Times New Roman" w:hAnsi="Times New Roman"/>
          <w:bCs/>
          <w:sz w:val="24"/>
          <w:szCs w:val="24"/>
          <w:lang w:val="en-US"/>
        </w:rPr>
        <w:footnoteReference w:id="334"/>
      </w:r>
    </w:p>
    <w:bookmarkStart w:id="44" w:name="_Toc233678249"/>
    <w:p w14:paraId="232A1C97">
      <w:pPr>
        <w:pStyle w:val="style3"/>
        <w:rPr/>
      </w:pPr>
      <w:r>
        <w:rPr>
          <w:lang w:val="en-US"/>
        </w:rPr>
        <w:t xml:space="preserve">2.7.7 </w:t>
      </w:r>
      <w:r>
        <w:rPr>
          <w:lang w:val="en-US"/>
        </w:rPr>
        <w:tab/>
      </w:r>
      <w:r>
        <w:rPr>
          <w:bCs/>
        </w:rPr>
        <w:t>Embryos</w:t>
      </w:r>
      <w:bookmarkEnd w:id="44"/>
    </w:p>
    <w:p w14:paraId="41324813">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An embryo is the product of fertilization formed when a sperm cell successfully fertilizes an egg cell.</w:t>
      </w:r>
      <w:r>
        <w:rPr>
          <w:rStyle w:val="style38"/>
          <w:rFonts w:ascii="Times New Roman" w:cs="Times New Roman" w:hAnsi="Times New Roman"/>
          <w:sz w:val="24"/>
          <w:szCs w:val="24"/>
        </w:rPr>
        <w:footnoteReference w:id="335"/>
      </w:r>
      <w:r>
        <w:rPr>
          <w:rFonts w:ascii="Times New Roman" w:cs="Times New Roman" w:hAnsi="Times New Roman"/>
          <w:sz w:val="24"/>
          <w:szCs w:val="24"/>
        </w:rPr>
        <w:t xml:space="preserve"> In assisted reproduction, embryos may be created outside the human body through in vitro fertilization and subsequently transferred to a uterus.</w:t>
      </w:r>
      <w:r>
        <w:rPr>
          <w:rStyle w:val="style38"/>
          <w:rFonts w:ascii="Times New Roman" w:cs="Times New Roman" w:hAnsi="Times New Roman"/>
          <w:sz w:val="24"/>
          <w:szCs w:val="24"/>
        </w:rPr>
        <w:footnoteReference w:id="336"/>
      </w:r>
      <w:r>
        <w:rPr>
          <w:rFonts w:ascii="Times New Roman" w:cs="Times New Roman" w:hAnsi="Times New Roman"/>
          <w:i/>
          <w:iCs/>
          <w:sz w:val="24"/>
          <w:szCs w:val="24"/>
          <w:lang w:val="en-US"/>
        </w:rPr>
        <w:t>Section 1 ofThe Human Fertilisation and Embryology Act 2008,</w:t>
      </w:r>
      <w:r>
        <w:rPr>
          <w:rFonts w:ascii="Times New Roman" w:cs="Times New Roman" w:hAnsi="Times New Roman"/>
          <w:sz w:val="24"/>
          <w:szCs w:val="24"/>
        </w:rPr>
        <w:t>provide a detailed statutory definition of the term.</w:t>
      </w:r>
      <w:r>
        <w:rPr>
          <w:rStyle w:val="style38"/>
          <w:rFonts w:ascii="Times New Roman" w:cs="Times New Roman" w:hAnsi="Times New Roman"/>
          <w:sz w:val="24"/>
          <w:szCs w:val="24"/>
        </w:rPr>
        <w:footnoteReference w:id="337"/>
      </w:r>
    </w:p>
    <w:bookmarkStart w:id="45" w:name="_Toc233678250"/>
    <w:p w14:paraId="0899BBAE">
      <w:pPr>
        <w:pStyle w:val="style3"/>
        <w:rPr>
          <w:lang w:val="en-US"/>
        </w:rPr>
      </w:pPr>
      <w:r>
        <w:rPr>
          <w:lang w:val="en-US"/>
        </w:rPr>
        <w:t xml:space="preserve">2.7.8 </w:t>
      </w:r>
      <w:r>
        <w:rPr>
          <w:lang w:val="en-US"/>
        </w:rPr>
        <w:tab/>
      </w:r>
      <w:r>
        <w:t>Posthumous Reproduction</w:t>
      </w:r>
      <w:bookmarkEnd w:id="45"/>
    </w:p>
    <w:p w14:paraId="1BC64C88">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Posthumous reproduction refers to the conception of a child using the gametes or embryos of a deceased person after that person's death.</w:t>
      </w:r>
      <w:r>
        <w:rPr>
          <w:rStyle w:val="style38"/>
          <w:rFonts w:ascii="Times New Roman" w:cs="Times New Roman" w:hAnsi="Times New Roman"/>
          <w:sz w:val="24"/>
          <w:szCs w:val="24"/>
        </w:rPr>
        <w:footnoteReference w:id="338"/>
      </w:r>
      <w:r>
        <w:rPr>
          <w:rFonts w:ascii="Times New Roman" w:cs="Times New Roman" w:hAnsi="Times New Roman"/>
          <w:sz w:val="24"/>
          <w:szCs w:val="24"/>
        </w:rPr>
        <w:t>This may occur where sperm, eggs, or embryos were preserved before death and subsequently used in assisted reproduction.</w:t>
      </w:r>
      <w:r>
        <w:rPr>
          <w:rStyle w:val="style38"/>
          <w:rFonts w:ascii="Times New Roman" w:cs="Times New Roman" w:hAnsi="Times New Roman"/>
          <w:sz w:val="24"/>
          <w:szCs w:val="24"/>
        </w:rPr>
        <w:footnoteReference w:id="339"/>
      </w:r>
      <w:r>
        <w:rPr>
          <w:rFonts w:ascii="Times New Roman" w:cs="Times New Roman" w:hAnsi="Times New Roman"/>
          <w:sz w:val="24"/>
          <w:szCs w:val="24"/>
        </w:rPr>
        <w:t xml:space="preserve"> Neither the </w:t>
      </w:r>
      <w:r>
        <w:rPr>
          <w:rFonts w:ascii="Times New Roman" w:cs="Times New Roman" w:hAnsi="Times New Roman"/>
          <w:i/>
          <w:iCs/>
          <w:sz w:val="24"/>
          <w:szCs w:val="24"/>
        </w:rPr>
        <w:t>Surrogacy Bill 2024</w:t>
      </w:r>
      <w:r>
        <w:rPr>
          <w:rFonts w:ascii="Times New Roman" w:cs="Times New Roman" w:hAnsi="Times New Roman"/>
          <w:sz w:val="24"/>
          <w:szCs w:val="24"/>
        </w:rPr>
        <w:t xml:space="preserve"> nor the </w:t>
      </w:r>
      <w:r>
        <w:rPr>
          <w:rFonts w:ascii="Times New Roman" w:cs="Times New Roman" w:hAnsi="Times New Roman"/>
          <w:i/>
          <w:iCs/>
          <w:sz w:val="24"/>
          <w:szCs w:val="24"/>
        </w:rPr>
        <w:t>Human Fertilization and Embryology Regulatory Commission Bill 2024</w:t>
      </w:r>
      <w:r>
        <w:rPr>
          <w:rFonts w:ascii="Times New Roman" w:cs="Times New Roman" w:hAnsi="Times New Roman"/>
          <w:sz w:val="24"/>
          <w:szCs w:val="24"/>
        </w:rPr>
        <w:t xml:space="preserve"> expressly defines posthumous reproduction.</w:t>
      </w:r>
      <w:r>
        <w:rPr>
          <w:rStyle w:val="style38"/>
          <w:rFonts w:ascii="Times New Roman" w:cs="Times New Roman" w:hAnsi="Times New Roman"/>
          <w:sz w:val="24"/>
          <w:szCs w:val="24"/>
        </w:rPr>
        <w:footnoteReference w:id="340"/>
      </w:r>
    </w:p>
    <w:bookmarkStart w:id="46" w:name="_Toc233678251"/>
    <w:p w14:paraId="2C76476A">
      <w:pPr>
        <w:pStyle w:val="style3"/>
        <w:rPr/>
      </w:pPr>
      <w:r>
        <w:rPr>
          <w:lang w:val="en-US"/>
        </w:rPr>
        <w:t xml:space="preserve">2.7.9  </w:t>
      </w:r>
      <w:r>
        <w:t>Genetic Motherhood</w:t>
      </w:r>
      <w:bookmarkEnd w:id="46"/>
    </w:p>
    <w:p w14:paraId="1E221D02">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Genetic motherhood refers to motherhood arising from the provision of the ovum from which a child is conceived.</w:t>
      </w:r>
      <w:r>
        <w:rPr>
          <w:rStyle w:val="style38"/>
          <w:rFonts w:ascii="Times New Roman" w:cs="Times New Roman" w:hAnsi="Times New Roman"/>
          <w:sz w:val="24"/>
          <w:szCs w:val="24"/>
        </w:rPr>
        <w:footnoteReference w:id="341"/>
      </w:r>
      <w:r>
        <w:rPr>
          <w:rFonts w:ascii="Times New Roman" w:cs="Times New Roman" w:hAnsi="Times New Roman"/>
          <w:sz w:val="24"/>
          <w:szCs w:val="24"/>
        </w:rPr>
        <w:t>A woman may therefore be the genetic mother even if she does not carry the pregnancy or give birth to the child.</w:t>
      </w:r>
      <w:r>
        <w:rPr>
          <w:rStyle w:val="style38"/>
          <w:rFonts w:ascii="Times New Roman" w:cs="Times New Roman" w:hAnsi="Times New Roman"/>
          <w:sz w:val="24"/>
          <w:szCs w:val="24"/>
        </w:rPr>
        <w:footnoteReference w:id="342"/>
      </w:r>
      <w:r>
        <w:rPr>
          <w:rFonts w:ascii="Times New Roman" w:cs="Times New Roman" w:hAnsi="Times New Roman"/>
          <w:i/>
          <w:iCs/>
          <w:sz w:val="24"/>
          <w:szCs w:val="24"/>
          <w:lang w:val="en-US"/>
        </w:rPr>
        <w:t>The surrogacy Bill 2024</w:t>
      </w:r>
      <w:r>
        <w:rPr>
          <w:rFonts w:ascii="Times New Roman" w:cs="Times New Roman" w:hAnsi="Times New Roman"/>
          <w:sz w:val="24"/>
          <w:szCs w:val="24"/>
          <w:lang w:val="en-US"/>
        </w:rPr>
        <w:t xml:space="preserve"> does not define genetic motherhood but it states that the minimum age for a woman to act as a genetic surrogate shall be 21 years.</w:t>
      </w:r>
      <w:r>
        <w:rPr>
          <w:rStyle w:val="style38"/>
          <w:rFonts w:ascii="Times New Roman" w:cs="Times New Roman" w:hAnsi="Times New Roman"/>
          <w:sz w:val="24"/>
          <w:szCs w:val="24"/>
          <w:lang w:val="en-US"/>
        </w:rPr>
        <w:footnoteReference w:id="343"/>
      </w:r>
    </w:p>
    <w:bookmarkStart w:id="47" w:name="_Toc233678252"/>
    <w:p w14:paraId="2A3757C0">
      <w:pPr>
        <w:pStyle w:val="style3"/>
        <w:rPr>
          <w:lang w:val="en-US"/>
        </w:rPr>
      </w:pPr>
      <w:r>
        <w:rPr>
          <w:lang w:val="en-US"/>
        </w:rPr>
        <w:t xml:space="preserve">2.7.10 </w:t>
      </w:r>
      <w:r>
        <w:rPr>
          <w:lang w:val="en-US"/>
        </w:rPr>
        <w:tab/>
      </w:r>
      <w:r>
        <w:t>Gestational Motherhood</w:t>
      </w:r>
      <w:bookmarkEnd w:id="47"/>
    </w:p>
    <w:p w14:paraId="30129333">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Gestational motherhood refers to motherhood based on carrying and giving birth to a child.</w:t>
      </w:r>
      <w:r>
        <w:rPr>
          <w:rStyle w:val="style38"/>
          <w:rFonts w:ascii="Times New Roman" w:cs="Times New Roman" w:hAnsi="Times New Roman"/>
          <w:sz w:val="24"/>
          <w:szCs w:val="24"/>
        </w:rPr>
        <w:footnoteReference w:id="344"/>
      </w:r>
      <w:r>
        <w:rPr>
          <w:rFonts w:ascii="Times New Roman" w:cs="Times New Roman" w:hAnsi="Times New Roman"/>
          <w:sz w:val="24"/>
          <w:szCs w:val="24"/>
        </w:rPr>
        <w:t xml:space="preserve"> In gestational surrogacy, the gestational mother may have no genetic connection with the child because the embryo originated from other persons.</w:t>
      </w:r>
      <w:r>
        <w:rPr>
          <w:rStyle w:val="style38"/>
          <w:rFonts w:ascii="Times New Roman" w:cs="Times New Roman" w:hAnsi="Times New Roman"/>
          <w:sz w:val="24"/>
          <w:szCs w:val="24"/>
        </w:rPr>
        <w:footnoteReference w:id="345"/>
      </w:r>
      <w:r>
        <w:rPr>
          <w:rFonts w:ascii="Times New Roman" w:cs="Times New Roman" w:hAnsi="Times New Roman"/>
          <w:i/>
          <w:iCs/>
          <w:sz w:val="24"/>
          <w:szCs w:val="24"/>
        </w:rPr>
        <w:t>The Surrogacy Bill 2024</w:t>
      </w:r>
      <w:r>
        <w:rPr>
          <w:rFonts w:ascii="Times New Roman" w:cs="Times New Roman" w:hAnsi="Times New Roman"/>
          <w:sz w:val="24"/>
          <w:szCs w:val="24"/>
        </w:rPr>
        <w:t xml:space="preserve"> does not define gestational motherhood.</w:t>
      </w:r>
      <w:r>
        <w:rPr>
          <w:rStyle w:val="style38"/>
          <w:rFonts w:ascii="Times New Roman" w:cs="Times New Roman" w:hAnsi="Times New Roman"/>
          <w:sz w:val="24"/>
          <w:szCs w:val="24"/>
        </w:rPr>
        <w:footnoteReference w:id="346"/>
      </w:r>
    </w:p>
    <w:bookmarkStart w:id="48" w:name="_Toc233678253"/>
    <w:p w14:paraId="60573A3E">
      <w:pPr>
        <w:pStyle w:val="style3"/>
        <w:rPr/>
      </w:pPr>
      <w:r>
        <w:t xml:space="preserve">2.7.11 </w:t>
      </w:r>
      <w:r>
        <w:tab/>
      </w:r>
      <w:r>
        <w:t>Surrogacy</w:t>
      </w:r>
      <w:bookmarkEnd w:id="48"/>
    </w:p>
    <w:p w14:paraId="6DEAFF6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Surrogacy has already been discussed in detail under </w:t>
      </w:r>
      <w:r>
        <w:rPr>
          <w:rFonts w:ascii="Times New Roman" w:cs="Times New Roman" w:hAnsi="Times New Roman"/>
          <w:b/>
          <w:bCs/>
          <w:sz w:val="24"/>
          <w:szCs w:val="24"/>
        </w:rPr>
        <w:t>section 2.4.</w:t>
      </w:r>
      <w:r>
        <w:rPr>
          <w:rFonts w:ascii="Times New Roman" w:cs="Times New Roman" w:hAnsi="Times New Roman"/>
          <w:sz w:val="24"/>
          <w:szCs w:val="24"/>
        </w:rPr>
        <w:t xml:space="preserve"> For purposes of conceptual clarity, it refers to an arrangement whereby a woman agrees to carry and give birth to a child for another person or couple who intend to assume parental responsibility for the child after birth.</w:t>
      </w:r>
      <w:r>
        <w:rPr>
          <w:rStyle w:val="style38"/>
          <w:rFonts w:ascii="Times New Roman" w:cs="Times New Roman" w:hAnsi="Times New Roman"/>
          <w:sz w:val="24"/>
          <w:szCs w:val="24"/>
        </w:rPr>
        <w:footnoteReference w:id="347"/>
      </w:r>
    </w:p>
    <w:bookmarkStart w:id="49" w:name="_Toc233678254"/>
    <w:p w14:paraId="16BDAC66">
      <w:pPr>
        <w:pStyle w:val="style3"/>
        <w:rPr/>
      </w:pPr>
      <w:r>
        <w:t xml:space="preserve">2.7.12 </w:t>
      </w:r>
      <w:r>
        <w:tab/>
      </w:r>
      <w:r>
        <w:t>Traditional Surrogacy</w:t>
      </w:r>
      <w:bookmarkEnd w:id="49"/>
    </w:p>
    <w:p w14:paraId="5AF20A05">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 Traditional Surrogacy has been thoroughly covered in section 2.5.Traditional surrogacy involves a surrogacy setup where the surrogate mother uses her own egg, making her genetically linked to the child she bears. </w:t>
      </w:r>
      <w:r>
        <w:rPr>
          <w:rStyle w:val="style38"/>
          <w:rFonts w:ascii="Times New Roman" w:cs="Times New Roman" w:hAnsi="Times New Roman"/>
          <w:sz w:val="24"/>
          <w:szCs w:val="24"/>
        </w:rPr>
        <w:footnoteReference w:id="348"/>
      </w:r>
    </w:p>
    <w:bookmarkStart w:id="50" w:name="_Toc233678255"/>
    <w:p w14:paraId="0806B59D">
      <w:pPr>
        <w:pStyle w:val="style3"/>
        <w:rPr/>
      </w:pPr>
      <w:r>
        <w:t xml:space="preserve">2.7.13 </w:t>
      </w:r>
      <w:r>
        <w:tab/>
      </w:r>
      <w:r>
        <w:t>Gestational Surrogacy</w:t>
      </w:r>
      <w:bookmarkEnd w:id="50"/>
    </w:p>
    <w:p w14:paraId="5D4E6965">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Gestational surrogacy has been thoroughly examined in section 2.5.2. It describes a surrogacy agreement where the surrogate carries and delivers a child without having any genetic ties to the child.</w:t>
      </w:r>
      <w:r>
        <w:rPr>
          <w:rStyle w:val="style38"/>
          <w:rFonts w:ascii="Times New Roman" w:cs="Times New Roman" w:hAnsi="Times New Roman"/>
          <w:sz w:val="24"/>
          <w:szCs w:val="24"/>
        </w:rPr>
        <w:footnoteReference w:id="349"/>
      </w:r>
      <w:r>
        <w:rPr>
          <w:rFonts w:ascii="Times New Roman" w:cs="Times New Roman" w:hAnsi="Times New Roman"/>
          <w:sz w:val="24"/>
          <w:szCs w:val="24"/>
        </w:rPr>
        <w:t xml:space="preserve"> The embryo is formed via assisted reproductive methods utilising the gametes from the intended parents and/or donors prior to being implanted in the surrogate's womb.</w:t>
      </w:r>
      <w:r>
        <w:rPr>
          <w:rStyle w:val="style38"/>
          <w:rFonts w:ascii="Times New Roman" w:cs="Times New Roman" w:hAnsi="Times New Roman"/>
          <w:sz w:val="24"/>
          <w:szCs w:val="24"/>
        </w:rPr>
        <w:footnoteReference w:id="350"/>
      </w:r>
      <w:r>
        <w:rPr>
          <w:rFonts w:ascii="Times New Roman" w:cs="Times New Roman" w:hAnsi="Times New Roman"/>
          <w:sz w:val="24"/>
          <w:szCs w:val="24"/>
        </w:rPr>
        <w:t xml:space="preserve"> This type of surrogacy distinguishes between carrying a pregnancy and providing genetic material, and it is the most prevalent method used in modern fertility treatments.</w:t>
      </w:r>
      <w:r>
        <w:rPr>
          <w:rStyle w:val="style38"/>
          <w:rFonts w:ascii="Times New Roman" w:cs="Times New Roman" w:hAnsi="Times New Roman"/>
          <w:sz w:val="24"/>
          <w:szCs w:val="24"/>
        </w:rPr>
        <w:footnoteReference w:id="351"/>
      </w:r>
    </w:p>
    <w:bookmarkStart w:id="51" w:name="_Toc233678256"/>
    <w:p w14:paraId="283C8501">
      <w:pPr>
        <w:pStyle w:val="style3"/>
        <w:rPr/>
      </w:pPr>
      <w:r>
        <w:t xml:space="preserve">2.7.14 </w:t>
      </w:r>
      <w:r>
        <w:tab/>
      </w:r>
      <w:r>
        <w:t>Altruistic Surrogacy</w:t>
      </w:r>
      <w:bookmarkEnd w:id="51"/>
    </w:p>
    <w:p w14:paraId="7224575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topic of altruistic surrogacy has been thoroughly examined in section 2.5.Three. It pertains to a surrogacy agreement where the surrogate is compensated only for reasonable expenses related to pregnancy and childbirth, without any additional financial gain.</w:t>
      </w:r>
      <w:r>
        <w:rPr>
          <w:rStyle w:val="style38"/>
          <w:rFonts w:ascii="Times New Roman" w:cs="Times New Roman" w:hAnsi="Times New Roman"/>
          <w:sz w:val="24"/>
          <w:szCs w:val="24"/>
        </w:rPr>
        <w:footnoteReference w:id="352"/>
      </w:r>
      <w:r>
        <w:rPr>
          <w:rFonts w:ascii="Times New Roman" w:cs="Times New Roman" w:hAnsi="Times New Roman"/>
          <w:sz w:val="24"/>
          <w:szCs w:val="24"/>
        </w:rPr>
        <w:t xml:space="preserve"> Many jurisdictions regard altruistic surrogacy as more ethically acceptable than commercial surrogacy.</w:t>
      </w:r>
      <w:r>
        <w:rPr>
          <w:rStyle w:val="style38"/>
          <w:rFonts w:ascii="Times New Roman" w:cs="Times New Roman" w:hAnsi="Times New Roman"/>
          <w:sz w:val="24"/>
          <w:szCs w:val="24"/>
        </w:rPr>
        <w:footnoteReference w:id="353"/>
      </w:r>
    </w:p>
    <w:bookmarkStart w:id="52" w:name="_Toc233678257"/>
    <w:p w14:paraId="64DB39C7">
      <w:pPr>
        <w:pStyle w:val="style3"/>
        <w:rPr/>
      </w:pPr>
      <w:r>
        <w:t xml:space="preserve">2.7.15 </w:t>
      </w:r>
      <w:r>
        <w:tab/>
      </w:r>
      <w:r>
        <w:t>Commercial Surrogacy</w:t>
      </w:r>
      <w:bookmarkEnd w:id="52"/>
    </w:p>
    <w:p w14:paraId="3DED40E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lang w:val="en-US"/>
        </w:rPr>
        <w:t>Commercial surrogacy has been thoroughly examined in section 2.5.4. Commercial surrogacy involves a surrogacy agreement where the surrogate is paid financially, in addition to being reimbursed for reasonable expenses related to the pregnancy.</w:t>
      </w:r>
      <w:r>
        <w:rPr>
          <w:rStyle w:val="style38"/>
          <w:rFonts w:ascii="Times New Roman" w:cs="Times New Roman" w:hAnsi="Times New Roman"/>
          <w:sz w:val="24"/>
          <w:szCs w:val="24"/>
        </w:rPr>
        <w:footnoteReference w:id="354"/>
      </w:r>
      <w:r>
        <w:rPr>
          <w:rFonts w:ascii="Times New Roman" w:cs="Times New Roman" w:hAnsi="Times New Roman"/>
          <w:sz w:val="24"/>
          <w:szCs w:val="24"/>
        </w:rPr>
        <w:t xml:space="preserve"> The setup regards gestational services as a paid endeavour and is frequently defended based on principles of reproductive independence and the freedom to contract.</w:t>
      </w:r>
      <w:r>
        <w:rPr>
          <w:rStyle w:val="style38"/>
          <w:rFonts w:ascii="Times New Roman" w:cs="Times New Roman" w:hAnsi="Times New Roman"/>
          <w:sz w:val="24"/>
          <w:szCs w:val="24"/>
        </w:rPr>
        <w:footnoteReference w:id="355"/>
      </w:r>
      <w:r>
        <w:rPr>
          <w:rFonts w:ascii="Times New Roman" w:cs="Times New Roman" w:hAnsi="Times New Roman"/>
          <w:sz w:val="24"/>
          <w:szCs w:val="24"/>
        </w:rPr>
        <w:t xml:space="preserve"> However, it remains controversial because of concerns relating to the the mistreatment of women, commodification of children, and inequality in bargaining power.</w:t>
      </w:r>
      <w:r>
        <w:rPr>
          <w:rStyle w:val="style38"/>
          <w:rFonts w:ascii="Times New Roman" w:cs="Times New Roman" w:hAnsi="Times New Roman"/>
          <w:sz w:val="24"/>
          <w:szCs w:val="24"/>
        </w:rPr>
        <w:footnoteReference w:id="356"/>
      </w:r>
    </w:p>
    <w:bookmarkStart w:id="53" w:name="_Toc233678258"/>
    <w:p w14:paraId="0ECDE7DD">
      <w:pPr>
        <w:pStyle w:val="style2"/>
        <w:rPr/>
      </w:pPr>
      <w:r>
        <w:rPr>
          <w:bCs/>
        </w:rPr>
        <w:t xml:space="preserve">2.8 </w:t>
      </w:r>
      <w:r>
        <w:rPr>
          <w:bCs/>
        </w:rPr>
        <w:tab/>
      </w:r>
      <w:r>
        <w:t>Parties Involved in Surrogacy and ART Arrangements</w:t>
      </w:r>
      <w:bookmarkEnd w:id="53"/>
    </w:p>
    <w:bookmarkStart w:id="54" w:name="_Toc233678259"/>
    <w:p w14:paraId="5983604F">
      <w:pPr>
        <w:pStyle w:val="style3"/>
        <w:rPr/>
      </w:pPr>
      <w:r>
        <w:t>2.</w:t>
      </w:r>
      <w:r>
        <w:rPr>
          <w:lang w:val="en-US"/>
        </w:rPr>
        <w:t>8</w:t>
      </w:r>
      <w:r>
        <w:t xml:space="preserve">.1 </w:t>
      </w:r>
      <w:r>
        <w:tab/>
      </w:r>
      <w:r>
        <w:t>Intended Parents</w:t>
      </w:r>
      <w:bookmarkEnd w:id="54"/>
    </w:p>
    <w:p w14:paraId="310FA10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Intended parents are the persons who initiate the arrangement with the purpose of becoming the child’s social and legal parents.</w:t>
      </w:r>
      <w:r>
        <w:rPr>
          <w:rStyle w:val="style38"/>
          <w:rFonts w:ascii="Times New Roman" w:cs="Times New Roman" w:hAnsi="Times New Roman"/>
          <w:sz w:val="24"/>
          <w:szCs w:val="24"/>
        </w:rPr>
        <w:footnoteReference w:id="357"/>
      </w:r>
      <w:r>
        <w:rPr>
          <w:rFonts w:ascii="Times New Roman" w:cs="Times New Roman" w:hAnsi="Times New Roman"/>
          <w:sz w:val="24"/>
          <w:szCs w:val="24"/>
        </w:rPr>
        <w:t xml:space="preserve"> Their strongest claim usually rests on intention, planning, financial responsibility, and often genetic contribution.</w:t>
      </w:r>
      <w:r>
        <w:rPr>
          <w:rStyle w:val="style38"/>
          <w:rFonts w:ascii="Times New Roman" w:cs="Times New Roman" w:hAnsi="Times New Roman"/>
          <w:sz w:val="24"/>
          <w:szCs w:val="24"/>
        </w:rPr>
        <w:footnoteReference w:id="358"/>
      </w:r>
      <w:r>
        <w:rPr>
          <w:rFonts w:ascii="Times New Roman" w:cs="Times New Roman" w:hAnsi="Times New Roman"/>
          <w:sz w:val="24"/>
          <w:szCs w:val="24"/>
        </w:rPr>
        <w:t xml:space="preserve"> However, intention alone should not override all other interests.</w:t>
      </w:r>
      <w:r>
        <w:rPr>
          <w:rStyle w:val="style38"/>
          <w:rFonts w:ascii="Times New Roman" w:cs="Times New Roman" w:hAnsi="Times New Roman"/>
          <w:sz w:val="24"/>
          <w:szCs w:val="24"/>
        </w:rPr>
        <w:footnoteReference w:id="359"/>
      </w:r>
      <w:r>
        <w:rPr>
          <w:rFonts w:ascii="Times New Roman" w:cs="Times New Roman" w:hAnsi="Times New Roman"/>
          <w:sz w:val="24"/>
          <w:szCs w:val="24"/>
        </w:rPr>
        <w:t xml:space="preserve"> It must be documented legally, </w:t>
      </w:r>
      <w:r>
        <w:rPr>
          <w:rFonts w:ascii="Times New Roman" w:cs="Times New Roman" w:hAnsi="Times New Roman"/>
          <w:sz w:val="24"/>
          <w:szCs w:val="24"/>
          <w:lang w:val="en-US"/>
        </w:rPr>
        <w:t>scrutinized</w:t>
      </w:r>
      <w:r>
        <w:rPr>
          <w:rFonts w:ascii="Times New Roman" w:cs="Times New Roman" w:hAnsi="Times New Roman"/>
          <w:sz w:val="24"/>
          <w:szCs w:val="24"/>
        </w:rPr>
        <w:t xml:space="preserve"> ethically as well as reconciled with the child’s welfare and the surrogate’s rights.</w:t>
      </w:r>
      <w:r>
        <w:rPr>
          <w:rStyle w:val="style38"/>
          <w:rFonts w:ascii="Times New Roman" w:cs="Times New Roman" w:hAnsi="Times New Roman"/>
          <w:sz w:val="24"/>
          <w:szCs w:val="24"/>
        </w:rPr>
        <w:footnoteReference w:id="360"/>
      </w:r>
    </w:p>
    <w:bookmarkStart w:id="55" w:name="_Toc233678260"/>
    <w:p w14:paraId="2320F455">
      <w:pPr>
        <w:pStyle w:val="style3"/>
        <w:rPr/>
      </w:pPr>
      <w:r>
        <w:t>2.</w:t>
      </w:r>
      <w:r>
        <w:rPr>
          <w:lang w:val="en-US"/>
        </w:rPr>
        <w:t>8</w:t>
      </w:r>
      <w:r>
        <w:t xml:space="preserve">.2 </w:t>
      </w:r>
      <w:r>
        <w:tab/>
      </w:r>
      <w:r>
        <w:t>Surrogate</w:t>
      </w:r>
      <w:bookmarkEnd w:id="55"/>
      <w:r>
        <w:t xml:space="preserve"> </w:t>
      </w:r>
    </w:p>
    <w:p w14:paraId="53BCA99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surrogate is not simply a vessel.</w:t>
      </w:r>
      <w:r>
        <w:rPr>
          <w:rStyle w:val="style38"/>
          <w:rFonts w:ascii="Times New Roman" w:cs="Times New Roman" w:hAnsi="Times New Roman"/>
          <w:sz w:val="24"/>
          <w:szCs w:val="24"/>
        </w:rPr>
        <w:footnoteReference w:id="361"/>
      </w:r>
      <w:r>
        <w:rPr>
          <w:rFonts w:ascii="Times New Roman" w:cs="Times New Roman" w:hAnsi="Times New Roman"/>
          <w:sz w:val="24"/>
          <w:szCs w:val="24"/>
        </w:rPr>
        <w:t xml:space="preserve"> She undertakes emotional and medical burdens.</w:t>
      </w:r>
      <w:r>
        <w:rPr>
          <w:rStyle w:val="style38"/>
          <w:rFonts w:ascii="Times New Roman" w:cs="Times New Roman" w:hAnsi="Times New Roman"/>
          <w:sz w:val="24"/>
          <w:szCs w:val="24"/>
        </w:rPr>
        <w:footnoteReference w:id="362"/>
      </w:r>
      <w:r>
        <w:rPr>
          <w:rFonts w:ascii="Times New Roman" w:cs="Times New Roman" w:hAnsi="Times New Roman"/>
          <w:sz w:val="24"/>
          <w:szCs w:val="24"/>
        </w:rPr>
        <w:t xml:space="preserve"> The legal framework must protect her dignity, informed consent, health, and post-birth rights.</w:t>
      </w:r>
      <w:r>
        <w:rPr>
          <w:rStyle w:val="style38"/>
          <w:rFonts w:ascii="Times New Roman" w:cs="Times New Roman" w:hAnsi="Times New Roman"/>
          <w:sz w:val="24"/>
          <w:szCs w:val="24"/>
        </w:rPr>
        <w:footnoteReference w:id="363"/>
      </w:r>
      <w:r>
        <w:rPr>
          <w:rFonts w:ascii="Times New Roman" w:cs="Times New Roman" w:hAnsi="Times New Roman"/>
          <w:sz w:val="24"/>
          <w:szCs w:val="24"/>
        </w:rPr>
        <w:t xml:space="preserve">  Legally, silence heightens the risk of exploitation where poverty, stigma, or unequal bargaining power exist.</w:t>
      </w:r>
      <w:r>
        <w:rPr>
          <w:rStyle w:val="style38"/>
          <w:rFonts w:ascii="Times New Roman" w:cs="Times New Roman" w:hAnsi="Times New Roman"/>
          <w:sz w:val="24"/>
          <w:szCs w:val="24"/>
        </w:rPr>
        <w:footnoteReference w:id="364"/>
      </w:r>
      <w:r>
        <w:rPr>
          <w:rFonts w:ascii="Times New Roman" w:cs="Times New Roman" w:hAnsi="Times New Roman"/>
          <w:sz w:val="24"/>
          <w:szCs w:val="24"/>
        </w:rPr>
        <w:t xml:space="preserve">Policy discussion in Nigeria now </w:t>
      </w:r>
      <w:r>
        <w:rPr>
          <w:rFonts w:ascii="Times New Roman" w:cs="Times New Roman" w:hAnsi="Times New Roman"/>
          <w:sz w:val="24"/>
          <w:szCs w:val="24"/>
          <w:lang w:val="en-US"/>
        </w:rPr>
        <w:t>emphasizes</w:t>
      </w:r>
      <w:r>
        <w:rPr>
          <w:rFonts w:ascii="Times New Roman" w:cs="Times New Roman" w:hAnsi="Times New Roman"/>
          <w:sz w:val="24"/>
          <w:szCs w:val="24"/>
        </w:rPr>
        <w:t xml:space="preserve"> on women’s health and protective regulation.</w:t>
      </w:r>
      <w:r>
        <w:rPr>
          <w:rStyle w:val="style38"/>
          <w:rFonts w:ascii="Times New Roman" w:cs="Times New Roman" w:hAnsi="Times New Roman"/>
          <w:sz w:val="24"/>
          <w:szCs w:val="24"/>
        </w:rPr>
        <w:footnoteReference w:id="365"/>
      </w:r>
      <w:r>
        <w:rPr>
          <w:rFonts w:ascii="Times New Roman" w:cs="Times New Roman" w:hAnsi="Times New Roman"/>
          <w:sz w:val="24"/>
          <w:szCs w:val="24"/>
        </w:rPr>
        <w:t xml:space="preserve"> The house of Representative in Nigeria introduced a </w:t>
      </w:r>
      <w:r>
        <w:rPr>
          <w:rFonts w:ascii="Times New Roman" w:cs="Times New Roman" w:hAnsi="Times New Roman"/>
          <w:i/>
          <w:iCs/>
          <w:sz w:val="24"/>
          <w:szCs w:val="24"/>
        </w:rPr>
        <w:t xml:space="preserve">Women's Health and Surrogacy Protection Bill, 2025 </w:t>
      </w:r>
      <w:r>
        <w:rPr>
          <w:rFonts w:ascii="Times New Roman" w:cs="Times New Roman" w:hAnsi="Times New Roman"/>
          <w:sz w:val="24"/>
          <w:szCs w:val="24"/>
        </w:rPr>
        <w:t xml:space="preserve">and it is in the first reading </w:t>
      </w:r>
      <w:r>
        <w:rPr>
          <w:rFonts w:ascii="Times New Roman" w:cs="Times New Roman" w:hAnsi="Times New Roman"/>
          <w:sz w:val="24"/>
          <w:szCs w:val="24"/>
          <w:lang w:val="en-US"/>
        </w:rPr>
        <w:t>as of April 2026</w:t>
      </w:r>
      <w:r>
        <w:rPr>
          <w:rFonts w:ascii="Times New Roman" w:cs="Times New Roman" w:hAnsi="Times New Roman"/>
          <w:sz w:val="24"/>
          <w:szCs w:val="24"/>
        </w:rPr>
        <w:t>.</w:t>
      </w:r>
      <w:r>
        <w:rPr>
          <w:rStyle w:val="style38"/>
          <w:rFonts w:ascii="Times New Roman" w:cs="Times New Roman" w:hAnsi="Times New Roman"/>
          <w:sz w:val="24"/>
          <w:szCs w:val="24"/>
        </w:rPr>
        <w:footnoteReference w:id="366"/>
      </w:r>
    </w:p>
    <w:bookmarkStart w:id="56" w:name="_Toc233678261"/>
    <w:p w14:paraId="7343E9E4">
      <w:pPr>
        <w:pStyle w:val="style3"/>
        <w:rPr/>
      </w:pPr>
      <w:r>
        <w:t>2.</w:t>
      </w:r>
      <w:r>
        <w:rPr>
          <w:lang w:val="en-US"/>
        </w:rPr>
        <w:t>8</w:t>
      </w:r>
      <w:r>
        <w:t xml:space="preserve">.3 </w:t>
      </w:r>
      <w:r>
        <w:tab/>
      </w:r>
      <w:r>
        <w:t>Gamete Donors</w:t>
      </w:r>
      <w:bookmarkEnd w:id="56"/>
    </w:p>
    <w:p w14:paraId="3A4ED6B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Gametehas already been discussed in detail under</w:t>
      </w:r>
      <w:r>
        <w:rPr>
          <w:rFonts w:ascii="Times New Roman" w:cs="Times New Roman" w:hAnsi="Times New Roman"/>
          <w:b/>
          <w:bCs/>
          <w:sz w:val="24"/>
          <w:szCs w:val="24"/>
        </w:rPr>
        <w:t>section</w:t>
      </w:r>
      <w:r>
        <w:rPr>
          <w:rFonts w:ascii="Times New Roman" w:cs="Times New Roman" w:hAnsi="Times New Roman"/>
          <w:b/>
          <w:bCs/>
          <w:sz w:val="24"/>
          <w:szCs w:val="24"/>
          <w:lang w:val="en-US"/>
        </w:rPr>
        <w:t xml:space="preserve"> 2.7.5  </w:t>
      </w:r>
      <w:r>
        <w:rPr>
          <w:rFonts w:ascii="Times New Roman" w:cs="Times New Roman" w:hAnsi="Times New Roman"/>
          <w:sz w:val="24"/>
          <w:szCs w:val="24"/>
          <w:lang w:val="en-US"/>
        </w:rPr>
        <w:t xml:space="preserve">while Donor </w:t>
      </w:r>
      <w:r>
        <w:rPr>
          <w:rFonts w:ascii="Times New Roman" w:cs="Times New Roman" w:hAnsi="Times New Roman"/>
          <w:sz w:val="24"/>
          <w:szCs w:val="24"/>
        </w:rPr>
        <w:t>has already been discussed in detail under</w:t>
      </w:r>
      <w:r>
        <w:rPr>
          <w:rFonts w:ascii="Times New Roman" w:cs="Times New Roman" w:hAnsi="Times New Roman"/>
          <w:b/>
          <w:bCs/>
          <w:sz w:val="24"/>
          <w:szCs w:val="24"/>
        </w:rPr>
        <w:t>section</w:t>
      </w:r>
      <w:r>
        <w:rPr>
          <w:rFonts w:ascii="Times New Roman" w:cs="Times New Roman" w:hAnsi="Times New Roman"/>
          <w:b/>
          <w:bCs/>
          <w:sz w:val="24"/>
          <w:szCs w:val="24"/>
          <w:lang w:val="en-US"/>
        </w:rPr>
        <w:t xml:space="preserve">  2.7.4.  </w:t>
      </w:r>
      <w:r>
        <w:rPr>
          <w:rFonts w:ascii="Times New Roman" w:cs="Times New Roman" w:hAnsi="Times New Roman"/>
          <w:sz w:val="24"/>
          <w:szCs w:val="24"/>
        </w:rPr>
        <w:t>Gamete donors contribute genetic material. However, they do not intend legal parenthood.</w:t>
      </w:r>
      <w:r>
        <w:rPr>
          <w:rStyle w:val="style38"/>
          <w:rFonts w:ascii="Times New Roman" w:cs="Times New Roman" w:hAnsi="Times New Roman"/>
          <w:sz w:val="24"/>
          <w:szCs w:val="24"/>
        </w:rPr>
        <w:footnoteReference w:id="367"/>
      </w:r>
      <w:r>
        <w:rPr>
          <w:rFonts w:ascii="Times New Roman" w:cs="Times New Roman" w:hAnsi="Times New Roman"/>
          <w:sz w:val="24"/>
          <w:szCs w:val="24"/>
        </w:rPr>
        <w:t xml:space="preserve"> The challenge is whether the law separates donation from parentage and whether the child has rights to origin information later on.</w:t>
      </w:r>
      <w:r>
        <w:rPr>
          <w:rStyle w:val="style38"/>
          <w:rFonts w:ascii="Times New Roman" w:cs="Times New Roman" w:hAnsi="Times New Roman"/>
          <w:sz w:val="24"/>
          <w:szCs w:val="24"/>
        </w:rPr>
        <w:footnoteReference w:id="368"/>
      </w:r>
      <w:r>
        <w:rPr>
          <w:rFonts w:ascii="Times New Roman" w:cs="Times New Roman" w:hAnsi="Times New Roman"/>
          <w:sz w:val="24"/>
          <w:szCs w:val="24"/>
        </w:rPr>
        <w:t xml:space="preserve"> The anonymity and legal status of donors remain uncertain when there the provisions of the law are not clear.</w:t>
      </w:r>
      <w:r>
        <w:rPr>
          <w:rStyle w:val="style38"/>
          <w:rFonts w:ascii="Times New Roman" w:cs="Times New Roman" w:hAnsi="Times New Roman"/>
          <w:sz w:val="24"/>
          <w:szCs w:val="24"/>
        </w:rPr>
        <w:footnoteReference w:id="369"/>
      </w:r>
      <w:r>
        <w:rPr>
          <w:rFonts w:ascii="Times New Roman" w:cs="Times New Roman" w:hAnsi="Times New Roman"/>
          <w:sz w:val="24"/>
          <w:szCs w:val="24"/>
        </w:rPr>
        <w:t xml:space="preserve"> This is problematic where identity, medical history, or claims of inheritance arise later.</w:t>
      </w:r>
      <w:r>
        <w:rPr>
          <w:rStyle w:val="style38"/>
          <w:rFonts w:ascii="Times New Roman" w:cs="Times New Roman" w:hAnsi="Times New Roman"/>
          <w:sz w:val="24"/>
          <w:szCs w:val="24"/>
        </w:rPr>
        <w:footnoteReference w:id="370"/>
      </w:r>
    </w:p>
    <w:bookmarkStart w:id="57" w:name="_Toc233678262"/>
    <w:p w14:paraId="4B94F2AA">
      <w:pPr>
        <w:pStyle w:val="style3"/>
        <w:rPr>
          <w:lang w:val="en-US"/>
        </w:rPr>
      </w:pPr>
      <w:r>
        <w:t>2.</w:t>
      </w:r>
      <w:r>
        <w:rPr>
          <w:lang w:val="en-US"/>
        </w:rPr>
        <w:t>8</w:t>
      </w:r>
      <w:r>
        <w:t xml:space="preserve">.4 </w:t>
      </w:r>
      <w:r>
        <w:tab/>
      </w:r>
      <w:r>
        <w:t>Medical Practitioners / Fertility Clinics</w:t>
      </w:r>
      <w:bookmarkEnd w:id="57"/>
    </w:p>
    <w:p w14:paraId="35FB4B5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Clinics and practitioners are key actors because they facilitate conception, documentation, consent, as well as record-keeping.</w:t>
      </w:r>
      <w:r>
        <w:rPr>
          <w:rStyle w:val="style38"/>
          <w:rFonts w:ascii="Times New Roman" w:cs="Times New Roman" w:hAnsi="Times New Roman"/>
          <w:sz w:val="24"/>
          <w:szCs w:val="24"/>
        </w:rPr>
        <w:footnoteReference w:id="371"/>
      </w:r>
      <w:r>
        <w:rPr>
          <w:rFonts w:ascii="Times New Roman" w:cs="Times New Roman" w:hAnsi="Times New Roman"/>
          <w:sz w:val="24"/>
          <w:szCs w:val="24"/>
        </w:rPr>
        <w:t xml:space="preserve"> In Nigeria, they play a significant role because regulation depends more on professional guidelines and local oversight.</w:t>
      </w:r>
      <w:r>
        <w:rPr>
          <w:rStyle w:val="style38"/>
          <w:rFonts w:ascii="Times New Roman" w:cs="Times New Roman" w:hAnsi="Times New Roman"/>
          <w:sz w:val="24"/>
          <w:szCs w:val="24"/>
        </w:rPr>
        <w:footnoteReference w:id="372"/>
      </w:r>
      <w:r>
        <w:rPr>
          <w:rFonts w:ascii="Times New Roman" w:cs="Times New Roman" w:hAnsi="Times New Roman"/>
          <w:sz w:val="24"/>
          <w:szCs w:val="24"/>
        </w:rPr>
        <w:t xml:space="preserve"> For example ART guidelines in Lagos State underscore that clinics cannot operate in a private sphere when their activities affect parentage and child rights.</w:t>
      </w:r>
      <w:r>
        <w:rPr>
          <w:rStyle w:val="style38"/>
          <w:rFonts w:ascii="Times New Roman" w:cs="Times New Roman" w:hAnsi="Times New Roman"/>
          <w:sz w:val="24"/>
          <w:szCs w:val="24"/>
        </w:rPr>
        <w:footnoteReference w:id="373"/>
      </w:r>
    </w:p>
    <w:bookmarkStart w:id="58" w:name="_Toc233678263"/>
    <w:p w14:paraId="5005818A">
      <w:pPr>
        <w:pStyle w:val="style3"/>
        <w:rPr/>
      </w:pPr>
      <w:r>
        <w:t>2.</w:t>
      </w:r>
      <w:r>
        <w:rPr>
          <w:lang w:val="en-US"/>
        </w:rPr>
        <w:t>8</w:t>
      </w:r>
      <w:r>
        <w:t xml:space="preserve">.5 </w:t>
      </w:r>
      <w:r>
        <w:tab/>
      </w:r>
      <w:r>
        <w:t>The Child</w:t>
      </w:r>
      <w:bookmarkEnd w:id="58"/>
    </w:p>
    <w:p w14:paraId="1E606D65">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child is the most important party.</w:t>
      </w:r>
      <w:r>
        <w:rPr>
          <w:rStyle w:val="style38"/>
          <w:rFonts w:ascii="Times New Roman" w:cs="Times New Roman" w:hAnsi="Times New Roman"/>
          <w:sz w:val="24"/>
          <w:szCs w:val="24"/>
        </w:rPr>
        <w:footnoteReference w:id="374"/>
      </w:r>
      <w:r>
        <w:rPr>
          <w:rFonts w:ascii="Times New Roman" w:cs="Times New Roman" w:hAnsi="Times New Roman"/>
          <w:sz w:val="24"/>
          <w:szCs w:val="24"/>
        </w:rPr>
        <w:t xml:space="preserve"> Yet, they are often the least heard at the stage of formation.</w:t>
      </w:r>
      <w:r>
        <w:rPr>
          <w:rStyle w:val="style38"/>
          <w:rFonts w:ascii="Times New Roman" w:cs="Times New Roman" w:hAnsi="Times New Roman"/>
          <w:sz w:val="24"/>
          <w:szCs w:val="24"/>
        </w:rPr>
        <w:footnoteReference w:id="375"/>
      </w:r>
      <w:r>
        <w:rPr>
          <w:rFonts w:ascii="Times New Roman" w:cs="Times New Roman" w:hAnsi="Times New Roman"/>
          <w:sz w:val="24"/>
          <w:szCs w:val="24"/>
        </w:rPr>
        <w:t xml:space="preserve"> The law must ensure the child is not reduced to the object of a bargain.</w:t>
      </w:r>
      <w:r>
        <w:rPr>
          <w:rStyle w:val="style38"/>
          <w:rFonts w:ascii="Times New Roman" w:cs="Times New Roman" w:hAnsi="Times New Roman"/>
          <w:sz w:val="24"/>
          <w:szCs w:val="24"/>
        </w:rPr>
        <w:footnoteReference w:id="376"/>
      </w:r>
      <w:r>
        <w:rPr>
          <w:rFonts w:ascii="Times New Roman" w:cs="Times New Roman" w:hAnsi="Times New Roman"/>
          <w:sz w:val="24"/>
          <w:szCs w:val="24"/>
        </w:rPr>
        <w:t xml:space="preserve"> Registration, nationality, name, family life, maintenance, inheritance, and access to identity information depend on a clear legal framework.</w:t>
      </w:r>
      <w:r>
        <w:rPr>
          <w:rStyle w:val="style38"/>
          <w:rFonts w:ascii="Times New Roman" w:cs="Times New Roman" w:hAnsi="Times New Roman"/>
          <w:sz w:val="24"/>
          <w:szCs w:val="24"/>
        </w:rPr>
        <w:footnoteReference w:id="377"/>
      </w:r>
      <w:r>
        <w:rPr>
          <w:rFonts w:ascii="Times New Roman" w:cs="Times New Roman" w:hAnsi="Times New Roman"/>
          <w:sz w:val="24"/>
          <w:szCs w:val="24"/>
        </w:rPr>
        <w:t xml:space="preserve"> Medical reporting on surrogacy has shown that where law is uncertain, the child bears the immediate consequences in treatment decisions, naming, as well as status recognition.</w:t>
      </w:r>
      <w:r>
        <w:rPr>
          <w:rStyle w:val="style38"/>
          <w:rFonts w:ascii="Times New Roman" w:cs="Times New Roman" w:hAnsi="Times New Roman"/>
          <w:sz w:val="24"/>
          <w:szCs w:val="24"/>
        </w:rPr>
        <w:footnoteReference w:id="378"/>
      </w:r>
      <w:r>
        <w:rPr>
          <w:rFonts w:ascii="Times New Roman" w:cs="Times New Roman" w:hAnsi="Times New Roman"/>
          <w:sz w:val="24"/>
          <w:szCs w:val="24"/>
        </w:rPr>
        <w:t xml:space="preserve"> Any doctrinal framework that does not place the child at the centre is therefore deficient fundamentally.</w:t>
      </w:r>
      <w:r>
        <w:rPr>
          <w:rStyle w:val="style38"/>
          <w:rFonts w:ascii="Times New Roman" w:cs="Times New Roman" w:hAnsi="Times New Roman"/>
          <w:sz w:val="24"/>
          <w:szCs w:val="24"/>
        </w:rPr>
        <w:footnoteReference w:id="379"/>
      </w:r>
    </w:p>
    <w:bookmarkStart w:id="59" w:name="_Toc233678264"/>
    <w:p w14:paraId="6E6E35A5">
      <w:pPr>
        <w:pStyle w:val="style2"/>
        <w:rPr/>
      </w:pPr>
      <w:r>
        <w:rPr>
          <w:lang w:val="en-US"/>
        </w:rPr>
        <w:t>2.9</w:t>
      </w:r>
      <w:r>
        <w:tab/>
      </w:r>
      <w:r>
        <w:t>Theoretical Framework</w:t>
      </w:r>
      <w:bookmarkEnd w:id="59"/>
    </w:p>
    <w:bookmarkStart w:id="60" w:name="_Toc233678265"/>
    <w:p w14:paraId="07A93D32">
      <w:pPr>
        <w:pStyle w:val="style3"/>
        <w:rPr/>
      </w:pPr>
      <w:r>
        <w:t>2.</w:t>
      </w:r>
      <w:r>
        <w:rPr>
          <w:lang w:val="en-US"/>
        </w:rPr>
        <w:t>9</w:t>
      </w:r>
      <w:r>
        <w:t xml:space="preserve">.1 </w:t>
      </w:r>
      <w:r>
        <w:tab/>
      </w:r>
      <w:r>
        <w:t>Natural Law Theory</w:t>
      </w:r>
      <w:bookmarkEnd w:id="60"/>
    </w:p>
    <w:p w14:paraId="3FE49179">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Natural </w:t>
      </w:r>
      <w:r>
        <w:rPr>
          <w:rFonts w:ascii="Times New Roman" w:cs="Times New Roman" w:hAnsi="Times New Roman"/>
          <w:sz w:val="24"/>
          <w:szCs w:val="24"/>
          <w:lang w:val="en-US"/>
        </w:rPr>
        <w:t>l</w:t>
      </w:r>
      <w:r>
        <w:rPr>
          <w:rFonts w:ascii="Times New Roman" w:cs="Times New Roman" w:hAnsi="Times New Roman"/>
          <w:sz w:val="24"/>
          <w:szCs w:val="24"/>
        </w:rPr>
        <w:t xml:space="preserve">aw </w:t>
      </w:r>
      <w:r>
        <w:rPr>
          <w:rFonts w:ascii="Times New Roman" w:cs="Times New Roman" w:hAnsi="Times New Roman"/>
          <w:sz w:val="24"/>
          <w:szCs w:val="24"/>
          <w:lang w:val="en-US"/>
        </w:rPr>
        <w:t>t</w:t>
      </w:r>
      <w:r>
        <w:rPr>
          <w:rFonts w:ascii="Times New Roman" w:cs="Times New Roman" w:hAnsi="Times New Roman"/>
          <w:sz w:val="24"/>
          <w:szCs w:val="24"/>
        </w:rPr>
        <w:t>heory has its roots in classical philosophy and it is one of the oldest theories of law.</w:t>
      </w:r>
      <w:r>
        <w:rPr>
          <w:rStyle w:val="style38"/>
          <w:rFonts w:ascii="Times New Roman" w:cs="Times New Roman" w:hAnsi="Times New Roman"/>
          <w:sz w:val="24"/>
          <w:szCs w:val="24"/>
        </w:rPr>
        <w:footnoteReference w:id="380"/>
      </w:r>
      <w:r>
        <w:rPr>
          <w:rFonts w:ascii="Times New Roman" w:cs="Times New Roman" w:hAnsi="Times New Roman"/>
          <w:sz w:val="24"/>
          <w:szCs w:val="24"/>
        </w:rPr>
        <w:t xml:space="preserve"> It dates back to the writings of the Greek and Roman philosophers.</w:t>
      </w:r>
      <w:r>
        <w:rPr>
          <w:rStyle w:val="style38"/>
          <w:rFonts w:ascii="Times New Roman" w:cs="Times New Roman" w:hAnsi="Times New Roman"/>
          <w:sz w:val="24"/>
          <w:szCs w:val="24"/>
        </w:rPr>
        <w:footnoteReference w:id="381"/>
      </w:r>
      <w:r>
        <w:rPr>
          <w:rFonts w:ascii="Times New Roman" w:cs="Times New Roman" w:hAnsi="Times New Roman"/>
          <w:sz w:val="24"/>
          <w:szCs w:val="24"/>
        </w:rPr>
        <w:t xml:space="preserve"> It holds that law should be based on universal principles of reason, morality, justice, and human nature, and that an unjust law may fail to deserve obedience in the fullest sense.</w:t>
      </w:r>
      <w:r>
        <w:rPr>
          <w:rStyle w:val="style38"/>
          <w:rFonts w:ascii="Times New Roman" w:cs="Times New Roman" w:hAnsi="Times New Roman"/>
          <w:sz w:val="24"/>
          <w:szCs w:val="24"/>
        </w:rPr>
        <w:footnoteReference w:id="382"/>
      </w:r>
      <w:r>
        <w:rPr>
          <w:rFonts w:ascii="Times New Roman" w:cs="Times New Roman" w:hAnsi="Times New Roman"/>
          <w:sz w:val="24"/>
          <w:szCs w:val="24"/>
        </w:rPr>
        <w:t xml:space="preserve"> Among its earliest propounders were Aristotle, who linked justice and law to the natural order.</w:t>
      </w:r>
      <w:r>
        <w:rPr>
          <w:rStyle w:val="style38"/>
          <w:rFonts w:ascii="Times New Roman" w:cs="Times New Roman" w:hAnsi="Times New Roman"/>
          <w:sz w:val="24"/>
          <w:szCs w:val="24"/>
        </w:rPr>
        <w:footnoteReference w:id="383"/>
      </w:r>
      <w:r>
        <w:rPr>
          <w:rFonts w:ascii="Times New Roman" w:cs="Times New Roman" w:hAnsi="Times New Roman"/>
          <w:sz w:val="24"/>
          <w:szCs w:val="24"/>
        </w:rPr>
        <w:t xml:space="preserve"> Going further, the Stoics developed the idea of universal moral law.</w:t>
      </w:r>
      <w:r>
        <w:rPr>
          <w:rStyle w:val="style38"/>
          <w:rFonts w:ascii="Times New Roman" w:cs="Times New Roman" w:hAnsi="Times New Roman"/>
          <w:sz w:val="24"/>
          <w:szCs w:val="24"/>
        </w:rPr>
        <w:footnoteReference w:id="384"/>
      </w:r>
      <w:r>
        <w:rPr>
          <w:rFonts w:ascii="Times New Roman" w:cs="Times New Roman" w:hAnsi="Times New Roman"/>
          <w:sz w:val="24"/>
          <w:szCs w:val="24"/>
        </w:rPr>
        <w:t xml:space="preserve"> The theory was later developed by St Thomas Aquinas systematically.</w:t>
      </w:r>
      <w:r>
        <w:rPr>
          <w:rStyle w:val="style38"/>
          <w:rFonts w:ascii="Times New Roman" w:cs="Times New Roman" w:hAnsi="Times New Roman"/>
          <w:sz w:val="24"/>
          <w:szCs w:val="24"/>
        </w:rPr>
        <w:footnoteReference w:id="385"/>
      </w:r>
      <w:r>
        <w:rPr>
          <w:rFonts w:ascii="Times New Roman" w:cs="Times New Roman" w:hAnsi="Times New Roman"/>
          <w:sz w:val="24"/>
          <w:szCs w:val="24"/>
        </w:rPr>
        <w:t xml:space="preserve"> He argued that human law must conform to higher divine and natural law.</w:t>
      </w:r>
      <w:r>
        <w:rPr>
          <w:rStyle w:val="style38"/>
          <w:rFonts w:ascii="Times New Roman" w:cs="Times New Roman" w:hAnsi="Times New Roman"/>
          <w:sz w:val="24"/>
          <w:szCs w:val="24"/>
        </w:rPr>
        <w:footnoteReference w:id="386"/>
      </w:r>
      <w:r>
        <w:rPr>
          <w:rFonts w:ascii="Times New Roman" w:cs="Times New Roman" w:hAnsi="Times New Roman"/>
          <w:sz w:val="24"/>
          <w:szCs w:val="24"/>
        </w:rPr>
        <w:t xml:space="preserve"> In the modern period, thinkers such as Hugo Grotius and John Finnis helped preserve and restate natural law reasoning in legal and political thought.</w:t>
      </w:r>
      <w:r>
        <w:rPr>
          <w:rStyle w:val="style38"/>
          <w:rFonts w:ascii="Times New Roman" w:cs="Times New Roman" w:hAnsi="Times New Roman"/>
          <w:sz w:val="24"/>
          <w:szCs w:val="24"/>
        </w:rPr>
        <w:footnoteReference w:id="387"/>
      </w:r>
    </w:p>
    <w:p w14:paraId="1D240EF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Natural law theory assesses legal systems based on fundamental ethical values like dignity, justice, and the intrinsic value of individuals.</w:t>
      </w:r>
      <w:r>
        <w:rPr>
          <w:rStyle w:val="style38"/>
          <w:rFonts w:ascii="Times New Roman" w:cs="Times New Roman" w:hAnsi="Times New Roman"/>
          <w:sz w:val="24"/>
          <w:szCs w:val="24"/>
        </w:rPr>
        <w:footnoteReference w:id="388"/>
      </w:r>
      <w:r>
        <w:rPr>
          <w:rFonts w:ascii="Times New Roman" w:cs="Times New Roman" w:hAnsi="Times New Roman"/>
          <w:sz w:val="24"/>
          <w:szCs w:val="24"/>
        </w:rPr>
        <w:t xml:space="preserve"> In surrogacy debates, natural law argues that childbirth should remain the foundation of motherhood, or that commercial surrogacy commodifies women and children.</w:t>
      </w:r>
      <w:r>
        <w:rPr>
          <w:rStyle w:val="style38"/>
          <w:rFonts w:ascii="Times New Roman" w:cs="Times New Roman" w:hAnsi="Times New Roman"/>
          <w:sz w:val="24"/>
          <w:szCs w:val="24"/>
        </w:rPr>
        <w:footnoteReference w:id="389"/>
      </w:r>
      <w:r>
        <w:rPr>
          <w:rFonts w:ascii="Times New Roman" w:cs="Times New Roman" w:hAnsi="Times New Roman"/>
          <w:sz w:val="24"/>
          <w:szCs w:val="24"/>
        </w:rPr>
        <w:t xml:space="preserve"> Yet, natural law may also support a child-centred approach because it insists that no child should suffer legal insecurity because of the manner of conception.</w:t>
      </w:r>
      <w:r>
        <w:rPr>
          <w:rStyle w:val="style38"/>
          <w:rFonts w:ascii="Times New Roman" w:cs="Times New Roman" w:hAnsi="Times New Roman"/>
          <w:sz w:val="24"/>
          <w:szCs w:val="24"/>
        </w:rPr>
        <w:footnoteReference w:id="390"/>
      </w:r>
      <w:r>
        <w:rPr>
          <w:rFonts w:ascii="Times New Roman" w:cs="Times New Roman" w:hAnsi="Times New Roman"/>
          <w:sz w:val="24"/>
          <w:szCs w:val="24"/>
          <w:lang w:val="en-US"/>
        </w:rPr>
        <w:t xml:space="preserve">Nevertheless, prohibiting commercial surrogacy remains controversial because pregnancy entails significant physical, emotional and financial burdens that many women may be unwilling to bear without meaningful compensation. From a natural law perspective, however, such restrictions preserve human dignity and prevent the commercialization of children and reproduction. </w:t>
      </w:r>
      <w:r>
        <w:rPr>
          <w:rFonts w:ascii="Times New Roman" w:cs="Times New Roman" w:hAnsi="Times New Roman"/>
          <w:sz w:val="24"/>
          <w:szCs w:val="24"/>
        </w:rPr>
        <w:t xml:space="preserve">A strength </w:t>
      </w:r>
      <w:r>
        <w:rPr>
          <w:rFonts w:ascii="Times New Roman" w:cs="Times New Roman" w:hAnsi="Times New Roman"/>
          <w:sz w:val="24"/>
          <w:szCs w:val="24"/>
          <w:lang w:val="en-US"/>
        </w:rPr>
        <w:t xml:space="preserve">of </w:t>
      </w:r>
      <w:r>
        <w:rPr>
          <w:rFonts w:ascii="Times New Roman" w:cs="Times New Roman" w:hAnsi="Times New Roman"/>
          <w:sz w:val="24"/>
          <w:szCs w:val="24"/>
        </w:rPr>
        <w:t xml:space="preserve">natural law theory is that it offers a moral critique of exploitative arrangements and </w:t>
      </w:r>
      <w:r>
        <w:rPr>
          <w:rFonts w:ascii="Times New Roman" w:cs="Times New Roman" w:hAnsi="Times New Roman"/>
          <w:sz w:val="24"/>
          <w:szCs w:val="24"/>
          <w:lang w:val="en-US"/>
        </w:rPr>
        <w:t>dehumanizing</w:t>
      </w:r>
      <w:r>
        <w:rPr>
          <w:rFonts w:ascii="Times New Roman" w:cs="Times New Roman" w:hAnsi="Times New Roman"/>
          <w:sz w:val="24"/>
          <w:szCs w:val="24"/>
        </w:rPr>
        <w:t xml:space="preserve"> markets.</w:t>
      </w:r>
      <w:r>
        <w:rPr>
          <w:rStyle w:val="style38"/>
          <w:rFonts w:ascii="Times New Roman" w:cs="Times New Roman" w:hAnsi="Times New Roman"/>
          <w:sz w:val="24"/>
          <w:szCs w:val="24"/>
        </w:rPr>
        <w:footnoteReference w:id="391"/>
      </w:r>
      <w:r>
        <w:rPr>
          <w:rFonts w:ascii="Times New Roman" w:cs="Times New Roman" w:hAnsi="Times New Roman"/>
          <w:sz w:val="24"/>
          <w:szCs w:val="24"/>
        </w:rPr>
        <w:t xml:space="preserve"> However, a limitation is that appeals to “nature” become indeterminate or ideologically selective (especially once reproduction itself is technologically mediated).</w:t>
      </w:r>
      <w:r>
        <w:rPr>
          <w:rStyle w:val="style38"/>
          <w:rFonts w:ascii="Times New Roman" w:cs="Times New Roman" w:hAnsi="Times New Roman"/>
          <w:sz w:val="24"/>
          <w:szCs w:val="24"/>
        </w:rPr>
        <w:footnoteReference w:id="392"/>
      </w:r>
      <w:r>
        <w:rPr>
          <w:rFonts w:ascii="Times New Roman" w:cs="Times New Roman" w:hAnsi="Times New Roman"/>
          <w:sz w:val="24"/>
          <w:szCs w:val="24"/>
        </w:rPr>
        <w:t xml:space="preserve"> In Nigeria, where culture and religion shape reproductive attitudes, natural law reasoning may illuminate values.</w:t>
      </w:r>
      <w:r>
        <w:rPr>
          <w:rStyle w:val="style38"/>
          <w:rFonts w:ascii="Times New Roman" w:cs="Times New Roman" w:hAnsi="Times New Roman"/>
          <w:sz w:val="24"/>
          <w:szCs w:val="24"/>
        </w:rPr>
        <w:footnoteReference w:id="393"/>
      </w:r>
      <w:r>
        <w:rPr>
          <w:rFonts w:ascii="Times New Roman" w:cs="Times New Roman" w:hAnsi="Times New Roman"/>
          <w:sz w:val="24"/>
          <w:szCs w:val="24"/>
        </w:rPr>
        <w:t xml:space="preserve"> However, it cannot by itself resolve hard questions of legal parentage.</w:t>
      </w:r>
      <w:r>
        <w:rPr>
          <w:rStyle w:val="style38"/>
          <w:rFonts w:ascii="Times New Roman" w:cs="Times New Roman" w:hAnsi="Times New Roman"/>
          <w:sz w:val="24"/>
          <w:szCs w:val="24"/>
        </w:rPr>
        <w:footnoteReference w:id="394"/>
      </w:r>
    </w:p>
    <w:bookmarkStart w:id="61" w:name="_Toc233678266"/>
    <w:p w14:paraId="3B57AEB9">
      <w:pPr>
        <w:pStyle w:val="style3"/>
        <w:rPr/>
      </w:pPr>
      <w:r>
        <w:t>2.</w:t>
      </w:r>
      <w:r>
        <w:rPr>
          <w:lang w:val="en-US"/>
        </w:rPr>
        <w:t>9</w:t>
      </w:r>
      <w:r>
        <w:t>.2</w:t>
      </w:r>
      <w:r>
        <w:tab/>
      </w:r>
      <w:r>
        <w:t>Legal Positivism</w:t>
      </w:r>
      <w:bookmarkEnd w:id="61"/>
    </w:p>
    <w:p w14:paraId="2C6AA903">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Legal Positivism emerged in the nineteenth century as a reaction against theories that tied law too closely to morality or natural justice.</w:t>
      </w:r>
      <w:r>
        <w:rPr>
          <w:rStyle w:val="style38"/>
          <w:rFonts w:ascii="Times New Roman" w:cs="Times New Roman" w:hAnsi="Times New Roman"/>
          <w:sz w:val="24"/>
          <w:szCs w:val="24"/>
        </w:rPr>
        <w:footnoteReference w:id="395"/>
      </w:r>
      <w:r>
        <w:rPr>
          <w:rFonts w:ascii="Times New Roman" w:cs="Times New Roman" w:hAnsi="Times New Roman"/>
          <w:sz w:val="24"/>
          <w:szCs w:val="24"/>
        </w:rPr>
        <w:t xml:space="preserve"> It asserts that the legitimacy of law comes from its origin, not from its moral content.</w:t>
      </w:r>
      <w:r>
        <w:rPr>
          <w:rStyle w:val="style38"/>
          <w:rFonts w:ascii="Times New Roman" w:cs="Times New Roman" w:hAnsi="Times New Roman"/>
          <w:sz w:val="24"/>
          <w:szCs w:val="24"/>
        </w:rPr>
        <w:footnoteReference w:id="396"/>
      </w:r>
      <w:r>
        <w:rPr>
          <w:rFonts w:ascii="Times New Roman" w:cs="Times New Roman" w:hAnsi="Times New Roman"/>
          <w:sz w:val="24"/>
          <w:szCs w:val="24"/>
        </w:rPr>
        <w:t xml:space="preserve"> The theory is most associated with John Austin, who argued that law is the command of a sovereign backed by sanctions.</w:t>
      </w:r>
      <w:r>
        <w:rPr>
          <w:rStyle w:val="style38"/>
          <w:rFonts w:ascii="Times New Roman" w:cs="Times New Roman" w:hAnsi="Times New Roman"/>
          <w:sz w:val="24"/>
          <w:szCs w:val="24"/>
        </w:rPr>
        <w:footnoteReference w:id="397"/>
      </w:r>
      <w:r>
        <w:rPr>
          <w:rFonts w:ascii="Times New Roman" w:cs="Times New Roman" w:hAnsi="Times New Roman"/>
          <w:sz w:val="24"/>
          <w:szCs w:val="24"/>
        </w:rPr>
        <w:t xml:space="preserve"> H.L.A. Hart later improved upon the ideas of Austin, shifting away from the command theory.</w:t>
      </w:r>
      <w:r>
        <w:rPr>
          <w:rStyle w:val="style38"/>
          <w:rFonts w:ascii="Times New Roman" w:cs="Times New Roman" w:hAnsi="Times New Roman"/>
          <w:sz w:val="24"/>
          <w:szCs w:val="24"/>
        </w:rPr>
        <w:footnoteReference w:id="398"/>
      </w:r>
      <w:r>
        <w:rPr>
          <w:rFonts w:ascii="Times New Roman" w:cs="Times New Roman" w:hAnsi="Times New Roman"/>
          <w:sz w:val="24"/>
          <w:szCs w:val="24"/>
        </w:rPr>
        <w:t xml:space="preserve"> He indicated that law consists of a framework of fundamental and supplementary regulations, particularly the rule of acknowledgement..</w:t>
      </w:r>
      <w:r>
        <w:rPr>
          <w:rStyle w:val="style38"/>
          <w:rFonts w:ascii="Times New Roman" w:cs="Times New Roman" w:hAnsi="Times New Roman"/>
          <w:sz w:val="24"/>
          <w:szCs w:val="24"/>
        </w:rPr>
        <w:footnoteReference w:id="399"/>
      </w:r>
      <w:r>
        <w:rPr>
          <w:rFonts w:ascii="Times New Roman" w:cs="Times New Roman" w:hAnsi="Times New Roman"/>
          <w:sz w:val="24"/>
          <w:szCs w:val="24"/>
        </w:rPr>
        <w:t xml:space="preserve"> Other important positivist thinkers include Jeremy Bentham, </w:t>
      </w:r>
      <w:r>
        <w:rPr>
          <w:rFonts w:ascii="Times New Roman" w:cs="Times New Roman" w:hAnsi="Times New Roman"/>
          <w:sz w:val="24"/>
          <w:szCs w:val="24"/>
          <w:lang w:val="en-US"/>
        </w:rPr>
        <w:t>criticized</w:t>
      </w:r>
      <w:r>
        <w:rPr>
          <w:rFonts w:ascii="Times New Roman" w:cs="Times New Roman" w:hAnsi="Times New Roman"/>
          <w:sz w:val="24"/>
          <w:szCs w:val="24"/>
        </w:rPr>
        <w:t xml:space="preserve"> natural rights and advocacy for codified law.</w:t>
      </w:r>
      <w:r>
        <w:rPr>
          <w:rStyle w:val="style38"/>
          <w:rFonts w:ascii="Times New Roman" w:cs="Times New Roman" w:hAnsi="Times New Roman"/>
          <w:sz w:val="24"/>
          <w:szCs w:val="24"/>
        </w:rPr>
        <w:footnoteReference w:id="400"/>
      </w:r>
    </w:p>
    <w:p w14:paraId="413B5888">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Legal positivism asserts that law is valid because it is posited by </w:t>
      </w:r>
      <w:r>
        <w:rPr>
          <w:rFonts w:ascii="Times New Roman" w:cs="Times New Roman" w:hAnsi="Times New Roman"/>
          <w:sz w:val="24"/>
          <w:szCs w:val="24"/>
          <w:lang w:val="en-US"/>
        </w:rPr>
        <w:t>recognized</w:t>
      </w:r>
      <w:r>
        <w:rPr>
          <w:rFonts w:ascii="Times New Roman" w:cs="Times New Roman" w:hAnsi="Times New Roman"/>
          <w:sz w:val="24"/>
          <w:szCs w:val="24"/>
        </w:rPr>
        <w:t xml:space="preserve"> legal authority.</w:t>
      </w:r>
      <w:r>
        <w:rPr>
          <w:rStyle w:val="style38"/>
          <w:rFonts w:ascii="Times New Roman" w:cs="Times New Roman" w:hAnsi="Times New Roman"/>
          <w:sz w:val="24"/>
          <w:szCs w:val="24"/>
        </w:rPr>
        <w:footnoteReference w:id="401"/>
      </w:r>
      <w:r>
        <w:rPr>
          <w:rFonts w:ascii="Times New Roman" w:cs="Times New Roman" w:hAnsi="Times New Roman"/>
          <w:sz w:val="24"/>
          <w:szCs w:val="24"/>
        </w:rPr>
        <w:t xml:space="preserve"> Applied to surrogacy and ART, positivism highlights the central problem in Nigeria.</w:t>
      </w:r>
      <w:r>
        <w:rPr>
          <w:rStyle w:val="style38"/>
          <w:rFonts w:ascii="Times New Roman" w:cs="Times New Roman" w:hAnsi="Times New Roman"/>
          <w:sz w:val="24"/>
          <w:szCs w:val="24"/>
        </w:rPr>
        <w:footnoteReference w:id="402"/>
      </w:r>
      <w:r>
        <w:rPr>
          <w:rFonts w:ascii="Times New Roman" w:cs="Times New Roman" w:hAnsi="Times New Roman"/>
          <w:sz w:val="24"/>
          <w:szCs w:val="24"/>
        </w:rPr>
        <w:t xml:space="preserve"> There is no comprehensive federal enactment which allocates parentage in these arrangements.</w:t>
      </w:r>
      <w:r>
        <w:rPr>
          <w:rStyle w:val="style38"/>
          <w:rFonts w:ascii="Times New Roman" w:cs="Times New Roman" w:hAnsi="Times New Roman"/>
          <w:sz w:val="24"/>
          <w:szCs w:val="24"/>
        </w:rPr>
        <w:footnoteReference w:id="403"/>
      </w:r>
      <w:r>
        <w:rPr>
          <w:rFonts w:ascii="Times New Roman" w:cs="Times New Roman" w:hAnsi="Times New Roman"/>
          <w:sz w:val="24"/>
          <w:szCs w:val="24"/>
        </w:rPr>
        <w:t xml:space="preserve"> A positivist judge will therefore look first to the </w:t>
      </w:r>
      <w:r>
        <w:rPr>
          <w:rFonts w:ascii="Times New Roman" w:cs="Times New Roman" w:hAnsi="Times New Roman"/>
          <w:i/>
          <w:iCs/>
          <w:sz w:val="24"/>
          <w:szCs w:val="24"/>
        </w:rPr>
        <w:t>Constitution, the Child’s Rights Act, the Evidence Act, the MCA,</w:t>
      </w:r>
      <w:r>
        <w:rPr>
          <w:rFonts w:ascii="Times New Roman" w:cs="Times New Roman" w:hAnsi="Times New Roman"/>
          <w:sz w:val="24"/>
          <w:szCs w:val="24"/>
        </w:rPr>
        <w:t xml:space="preserve"> and any other valid enactment.</w:t>
      </w:r>
      <w:r>
        <w:rPr>
          <w:rStyle w:val="style38"/>
          <w:rFonts w:ascii="Times New Roman" w:cs="Times New Roman" w:hAnsi="Times New Roman"/>
          <w:sz w:val="24"/>
          <w:szCs w:val="24"/>
        </w:rPr>
        <w:footnoteReference w:id="404"/>
      </w:r>
      <w:r>
        <w:rPr>
          <w:rFonts w:ascii="Times New Roman" w:cs="Times New Roman" w:hAnsi="Times New Roman"/>
          <w:sz w:val="24"/>
          <w:szCs w:val="24"/>
        </w:rPr>
        <w:t xml:space="preserve"> The strength of positivism is clarity and institutional discipline.</w:t>
      </w:r>
      <w:r>
        <w:rPr>
          <w:rStyle w:val="style38"/>
          <w:rFonts w:ascii="Times New Roman" w:cs="Times New Roman" w:hAnsi="Times New Roman"/>
          <w:sz w:val="24"/>
          <w:szCs w:val="24"/>
        </w:rPr>
        <w:footnoteReference w:id="405"/>
      </w:r>
      <w:r>
        <w:rPr>
          <w:rFonts w:ascii="Times New Roman" w:cs="Times New Roman" w:hAnsi="Times New Roman"/>
          <w:sz w:val="24"/>
          <w:szCs w:val="24"/>
        </w:rPr>
        <w:t xml:space="preserve"> However, a weakness is that where legislation is silent or outdated, positivism may leave courts with inadequate tools for novel reproductive disputes.</w:t>
      </w:r>
      <w:r>
        <w:rPr>
          <w:rStyle w:val="style38"/>
          <w:rFonts w:ascii="Times New Roman" w:cs="Times New Roman" w:hAnsi="Times New Roman"/>
          <w:sz w:val="24"/>
          <w:szCs w:val="24"/>
        </w:rPr>
        <w:footnoteReference w:id="406"/>
      </w:r>
      <w:r>
        <w:rPr>
          <w:rFonts w:ascii="Times New Roman" w:cs="Times New Roman" w:hAnsi="Times New Roman"/>
          <w:sz w:val="24"/>
          <w:szCs w:val="24"/>
        </w:rPr>
        <w:t xml:space="preserve"> In the ART context in Nigeria, that is a serious limitation because the technology is moving faster than legislation.</w:t>
      </w:r>
      <w:r>
        <w:rPr>
          <w:rStyle w:val="style38"/>
          <w:rFonts w:ascii="Times New Roman" w:cs="Times New Roman" w:hAnsi="Times New Roman"/>
          <w:sz w:val="24"/>
          <w:szCs w:val="24"/>
        </w:rPr>
        <w:footnoteReference w:id="407"/>
      </w:r>
    </w:p>
    <w:bookmarkStart w:id="62" w:name="_Toc233678267"/>
    <w:p w14:paraId="75955CBA">
      <w:pPr>
        <w:pStyle w:val="style3"/>
        <w:rPr/>
      </w:pPr>
      <w:r>
        <w:t>2.</w:t>
      </w:r>
      <w:r>
        <w:rPr>
          <w:lang w:val="en-US"/>
        </w:rPr>
        <w:t>9</w:t>
      </w:r>
      <w:r>
        <w:t>.3</w:t>
      </w:r>
      <w:r>
        <w:tab/>
      </w:r>
      <w:r>
        <w:t>Sociological Jurisprudence</w:t>
      </w:r>
      <w:bookmarkEnd w:id="62"/>
    </w:p>
    <w:p w14:paraId="05A8493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Sociological Jurisprudence emerged during the late 1800s and early 1900s.</w:t>
      </w:r>
      <w:r>
        <w:rPr>
          <w:rStyle w:val="style38"/>
          <w:rFonts w:ascii="Times New Roman" w:cs="Times New Roman" w:hAnsi="Times New Roman"/>
          <w:sz w:val="24"/>
          <w:szCs w:val="24"/>
        </w:rPr>
        <w:footnoteReference w:id="408"/>
      </w:r>
      <w:r>
        <w:rPr>
          <w:rFonts w:ascii="Times New Roman" w:cs="Times New Roman" w:hAnsi="Times New Roman"/>
          <w:sz w:val="24"/>
          <w:szCs w:val="24"/>
        </w:rPr>
        <w:t xml:space="preserve"> It was a response to rigid, formal approaches to law that paid little attention to social realities.</w:t>
      </w:r>
      <w:r>
        <w:rPr>
          <w:rStyle w:val="style38"/>
          <w:rFonts w:ascii="Times New Roman" w:cs="Times New Roman" w:hAnsi="Times New Roman"/>
          <w:sz w:val="24"/>
          <w:szCs w:val="24"/>
        </w:rPr>
        <w:footnoteReference w:id="409"/>
      </w:r>
      <w:r>
        <w:rPr>
          <w:rFonts w:ascii="Times New Roman" w:cs="Times New Roman" w:hAnsi="Times New Roman"/>
          <w:sz w:val="24"/>
          <w:szCs w:val="24"/>
        </w:rPr>
        <w:t xml:space="preserve"> This theory posits that law functions as a societal construct that should be examined in connection with the community it supports.</w:t>
      </w:r>
      <w:r>
        <w:rPr>
          <w:rStyle w:val="style38"/>
          <w:rFonts w:ascii="Times New Roman" w:cs="Times New Roman" w:hAnsi="Times New Roman"/>
          <w:sz w:val="24"/>
          <w:szCs w:val="24"/>
        </w:rPr>
        <w:footnoteReference w:id="410"/>
      </w:r>
      <w:r>
        <w:rPr>
          <w:rFonts w:ascii="Times New Roman" w:cs="Times New Roman" w:hAnsi="Times New Roman"/>
          <w:sz w:val="24"/>
          <w:szCs w:val="24"/>
        </w:rPr>
        <w:t xml:space="preserve"> It focuses on how legal rules affect human behaviour, social interests, as well as social development.</w:t>
      </w:r>
      <w:r>
        <w:rPr>
          <w:rStyle w:val="style38"/>
          <w:rFonts w:ascii="Times New Roman" w:cs="Times New Roman" w:hAnsi="Times New Roman"/>
          <w:sz w:val="24"/>
          <w:szCs w:val="24"/>
        </w:rPr>
        <w:footnoteReference w:id="411"/>
      </w:r>
      <w:r>
        <w:rPr>
          <w:rFonts w:ascii="Times New Roman" w:cs="Times New Roman" w:hAnsi="Times New Roman"/>
          <w:sz w:val="24"/>
          <w:szCs w:val="24"/>
        </w:rPr>
        <w:t xml:space="preserve"> Roscoe Pound is the most prominent propounder under this theory.</w:t>
      </w:r>
      <w:r>
        <w:rPr>
          <w:rStyle w:val="style38"/>
          <w:rFonts w:ascii="Times New Roman" w:cs="Times New Roman" w:hAnsi="Times New Roman"/>
          <w:sz w:val="24"/>
          <w:szCs w:val="24"/>
        </w:rPr>
        <w:footnoteReference w:id="412"/>
      </w:r>
      <w:r>
        <w:rPr>
          <w:rFonts w:ascii="Times New Roman" w:cs="Times New Roman" w:hAnsi="Times New Roman"/>
          <w:sz w:val="24"/>
          <w:szCs w:val="24"/>
        </w:rPr>
        <w:t xml:space="preserve"> He contended that legislation ought to serve as an instrument for societal development and must reconcile conflicting interests within the community.</w:t>
      </w:r>
      <w:r>
        <w:rPr>
          <w:rStyle w:val="style38"/>
          <w:rFonts w:ascii="Times New Roman" w:cs="Times New Roman" w:hAnsi="Times New Roman"/>
          <w:sz w:val="24"/>
          <w:szCs w:val="24"/>
        </w:rPr>
        <w:footnoteReference w:id="413"/>
      </w:r>
      <w:r>
        <w:rPr>
          <w:rFonts w:ascii="Times New Roman" w:cs="Times New Roman" w:hAnsi="Times New Roman"/>
          <w:sz w:val="24"/>
          <w:szCs w:val="24"/>
        </w:rPr>
        <w:t xml:space="preserve"> Going further, Eugen Ehrlich stressed the importance of the “living law” found in actual social practices rather thanonly in statutes.</w:t>
      </w:r>
      <w:r>
        <w:rPr>
          <w:rStyle w:val="style38"/>
          <w:rFonts w:ascii="Times New Roman" w:cs="Times New Roman" w:hAnsi="Times New Roman"/>
          <w:sz w:val="24"/>
          <w:szCs w:val="24"/>
        </w:rPr>
        <w:footnoteReference w:id="414"/>
      </w:r>
      <w:r>
        <w:rPr>
          <w:rFonts w:ascii="Times New Roman" w:cs="Times New Roman" w:hAnsi="Times New Roman"/>
          <w:sz w:val="24"/>
          <w:szCs w:val="24"/>
        </w:rPr>
        <w:t xml:space="preserve"> Furthermore, the sociological ideas of Auguste Comte and Émile Durkheim influenced the broader intellectual background of the theory.</w:t>
      </w:r>
      <w:r>
        <w:rPr>
          <w:rStyle w:val="style38"/>
          <w:rFonts w:ascii="Times New Roman" w:cs="Times New Roman" w:hAnsi="Times New Roman"/>
          <w:sz w:val="24"/>
          <w:szCs w:val="24"/>
        </w:rPr>
        <w:footnoteReference w:id="415"/>
      </w:r>
    </w:p>
    <w:p w14:paraId="735AA9B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Sociological jurisprudence asserts that law is a social institution that must respond to living realities and balance competing interests.</w:t>
      </w:r>
      <w:r>
        <w:rPr>
          <w:rStyle w:val="style38"/>
          <w:rFonts w:ascii="Times New Roman" w:cs="Times New Roman" w:hAnsi="Times New Roman"/>
          <w:sz w:val="24"/>
          <w:szCs w:val="24"/>
        </w:rPr>
        <w:footnoteReference w:id="416"/>
      </w:r>
      <w:r>
        <w:rPr>
          <w:rFonts w:ascii="Times New Roman" w:cs="Times New Roman" w:hAnsi="Times New Roman"/>
          <w:sz w:val="24"/>
          <w:szCs w:val="24"/>
        </w:rPr>
        <w:t xml:space="preserve"> Hence, this theory is suitable for surrogacy and ART in Nigeria because it </w:t>
      </w:r>
      <w:r>
        <w:rPr>
          <w:rFonts w:ascii="Times New Roman" w:cs="Times New Roman" w:hAnsi="Times New Roman"/>
          <w:sz w:val="24"/>
          <w:szCs w:val="24"/>
          <w:lang w:val="en-US"/>
        </w:rPr>
        <w:t>recognizes</w:t>
      </w:r>
      <w:r>
        <w:rPr>
          <w:rFonts w:ascii="Times New Roman" w:cs="Times New Roman" w:hAnsi="Times New Roman"/>
          <w:sz w:val="24"/>
          <w:szCs w:val="24"/>
        </w:rPr>
        <w:t xml:space="preserve"> that legal rules do not operate in abstraction.</w:t>
      </w:r>
      <w:r>
        <w:rPr>
          <w:rStyle w:val="style38"/>
          <w:rFonts w:ascii="Times New Roman" w:cs="Times New Roman" w:hAnsi="Times New Roman"/>
          <w:sz w:val="24"/>
          <w:szCs w:val="24"/>
        </w:rPr>
        <w:footnoteReference w:id="417"/>
      </w:r>
      <w:r>
        <w:rPr>
          <w:rFonts w:ascii="Times New Roman" w:cs="Times New Roman" w:hAnsi="Times New Roman"/>
          <w:sz w:val="24"/>
          <w:szCs w:val="24"/>
        </w:rPr>
        <w:t xml:space="preserve"> Rather, they are shaped by poverty, stigma, religion, kinship systems, administrative practice, and medical technology.</w:t>
      </w:r>
      <w:r>
        <w:rPr>
          <w:rStyle w:val="style38"/>
          <w:rFonts w:ascii="Times New Roman" w:cs="Times New Roman" w:hAnsi="Times New Roman"/>
          <w:sz w:val="24"/>
          <w:szCs w:val="24"/>
        </w:rPr>
        <w:footnoteReference w:id="418"/>
      </w:r>
      <w:r>
        <w:rPr>
          <w:rFonts w:ascii="Times New Roman" w:cs="Times New Roman" w:hAnsi="Times New Roman"/>
          <w:sz w:val="24"/>
          <w:szCs w:val="24"/>
        </w:rPr>
        <w:t xml:space="preserve"> Therefore, a sociological approach asks how those rules function in hospitals, registration offices, courts, and families.</w:t>
      </w:r>
      <w:r>
        <w:rPr>
          <w:rStyle w:val="style38"/>
          <w:rFonts w:ascii="Times New Roman" w:cs="Times New Roman" w:hAnsi="Times New Roman"/>
          <w:sz w:val="24"/>
          <w:szCs w:val="24"/>
        </w:rPr>
        <w:footnoteReference w:id="419"/>
      </w:r>
      <w:r>
        <w:rPr>
          <w:rFonts w:ascii="Times New Roman" w:cs="Times New Roman" w:hAnsi="Times New Roman"/>
          <w:sz w:val="24"/>
          <w:szCs w:val="24"/>
        </w:rPr>
        <w:t xml:space="preserve"> A strength is that it highlights social consequences realistically.</w:t>
      </w:r>
      <w:r>
        <w:rPr>
          <w:rStyle w:val="style38"/>
          <w:rFonts w:ascii="Times New Roman" w:cs="Times New Roman" w:hAnsi="Times New Roman"/>
          <w:sz w:val="24"/>
          <w:szCs w:val="24"/>
        </w:rPr>
        <w:footnoteReference w:id="420"/>
      </w:r>
      <w:r>
        <w:rPr>
          <w:rFonts w:ascii="Times New Roman" w:cs="Times New Roman" w:hAnsi="Times New Roman"/>
          <w:sz w:val="24"/>
          <w:szCs w:val="24"/>
        </w:rPr>
        <w:t xml:space="preserve"> However, a limitation is that it may</w:t>
      </w:r>
      <w:r>
        <w:rPr>
          <w:rFonts w:ascii="Times New Roman" w:cs="Times New Roman" w:hAnsi="Times New Roman"/>
          <w:sz w:val="24"/>
          <w:szCs w:val="24"/>
          <w:lang w:val="en-US"/>
        </w:rPr>
        <w:t xml:space="preserve"> undermine</w:t>
      </w:r>
      <w:r>
        <w:rPr>
          <w:rFonts w:ascii="Times New Roman" w:cs="Times New Roman" w:hAnsi="Times New Roman"/>
          <w:sz w:val="24"/>
          <w:szCs w:val="24"/>
        </w:rPr>
        <w:t xml:space="preserve"> the precision of rules if not controlled carefully.</w:t>
      </w:r>
      <w:r>
        <w:rPr>
          <w:rStyle w:val="style38"/>
          <w:rFonts w:ascii="Times New Roman" w:cs="Times New Roman" w:hAnsi="Times New Roman"/>
          <w:sz w:val="24"/>
          <w:szCs w:val="24"/>
        </w:rPr>
        <w:footnoteReference w:id="421"/>
      </w:r>
      <w:r>
        <w:rPr>
          <w:rFonts w:ascii="Times New Roman" w:cs="Times New Roman" w:hAnsi="Times New Roman"/>
          <w:sz w:val="24"/>
          <w:szCs w:val="24"/>
        </w:rPr>
        <w:t xml:space="preserve"> Even so, this theory is valuable for a subject as socially embedded as surrogacy.</w:t>
      </w:r>
      <w:r>
        <w:rPr>
          <w:rStyle w:val="style38"/>
          <w:rFonts w:ascii="Times New Roman" w:cs="Times New Roman" w:hAnsi="Times New Roman"/>
          <w:sz w:val="24"/>
          <w:szCs w:val="24"/>
        </w:rPr>
        <w:footnoteReference w:id="422"/>
      </w:r>
    </w:p>
    <w:bookmarkStart w:id="63" w:name="_Toc233678268"/>
    <w:p w14:paraId="5B4C832C">
      <w:pPr>
        <w:pStyle w:val="style3"/>
        <w:rPr/>
      </w:pPr>
      <w:r>
        <w:t>2.</w:t>
      </w:r>
      <w:r>
        <w:rPr>
          <w:lang w:val="en-US"/>
        </w:rPr>
        <w:t>9</w:t>
      </w:r>
      <w:r>
        <w:t>.4</w:t>
      </w:r>
      <w:r>
        <w:tab/>
      </w:r>
      <w:r>
        <w:t>Legal Realism</w:t>
      </w:r>
      <w:bookmarkEnd w:id="63"/>
    </w:p>
    <w:p w14:paraId="3445216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Legal Realism arose in the early twentieth century, especially in the United States.</w:t>
      </w:r>
      <w:r>
        <w:rPr>
          <w:rStyle w:val="style38"/>
          <w:rFonts w:ascii="Times New Roman" w:cs="Times New Roman" w:hAnsi="Times New Roman"/>
          <w:sz w:val="24"/>
          <w:szCs w:val="24"/>
        </w:rPr>
        <w:footnoteReference w:id="423"/>
      </w:r>
      <w:r>
        <w:rPr>
          <w:rFonts w:ascii="Times New Roman" w:cs="Times New Roman" w:hAnsi="Times New Roman"/>
          <w:sz w:val="24"/>
          <w:szCs w:val="24"/>
        </w:rPr>
        <w:t xml:space="preserve"> It was a critique of the idea that judicial decisions are reached by logical deduction from fixed legal rules.</w:t>
      </w:r>
      <w:r>
        <w:rPr>
          <w:rStyle w:val="style38"/>
          <w:rFonts w:ascii="Times New Roman" w:cs="Times New Roman" w:hAnsi="Times New Roman"/>
          <w:sz w:val="24"/>
          <w:szCs w:val="24"/>
        </w:rPr>
        <w:footnoteReference w:id="424"/>
      </w:r>
      <w:r>
        <w:rPr>
          <w:rFonts w:ascii="Times New Roman" w:cs="Times New Roman" w:hAnsi="Times New Roman"/>
          <w:sz w:val="24"/>
          <w:szCs w:val="24"/>
        </w:rPr>
        <w:t xml:space="preserve"> Realists argued that law is what judges and legal institutions actually do in practice.</w:t>
      </w:r>
      <w:r>
        <w:rPr>
          <w:rStyle w:val="style38"/>
          <w:rFonts w:ascii="Times New Roman" w:cs="Times New Roman" w:hAnsi="Times New Roman"/>
          <w:sz w:val="24"/>
          <w:szCs w:val="24"/>
        </w:rPr>
        <w:footnoteReference w:id="425"/>
      </w:r>
      <w:r>
        <w:rPr>
          <w:rFonts w:ascii="Times New Roman" w:cs="Times New Roman" w:hAnsi="Times New Roman"/>
          <w:sz w:val="24"/>
          <w:szCs w:val="24"/>
        </w:rPr>
        <w:t xml:space="preserve"> In addition, judicial decisions are often influenced by social conditions and practical consequences.</w:t>
      </w:r>
      <w:r>
        <w:rPr>
          <w:rStyle w:val="style38"/>
          <w:rFonts w:ascii="Times New Roman" w:cs="Times New Roman" w:hAnsi="Times New Roman"/>
          <w:sz w:val="24"/>
          <w:szCs w:val="24"/>
        </w:rPr>
        <w:footnoteReference w:id="426"/>
      </w:r>
      <w:r>
        <w:rPr>
          <w:rFonts w:ascii="Times New Roman" w:cs="Times New Roman" w:hAnsi="Times New Roman"/>
          <w:sz w:val="24"/>
          <w:szCs w:val="24"/>
        </w:rPr>
        <w:t xml:space="preserve"> Oliver Wendell Holmes Jr., is a leading propounder.</w:t>
      </w:r>
      <w:r>
        <w:rPr>
          <w:rStyle w:val="style38"/>
          <w:rFonts w:ascii="Times New Roman" w:cs="Times New Roman" w:hAnsi="Times New Roman"/>
          <w:sz w:val="24"/>
          <w:szCs w:val="24"/>
        </w:rPr>
        <w:footnoteReference w:id="427"/>
      </w:r>
      <w:r>
        <w:rPr>
          <w:rFonts w:ascii="Times New Roman" w:cs="Times New Roman" w:hAnsi="Times New Roman"/>
          <w:sz w:val="24"/>
          <w:szCs w:val="24"/>
        </w:rPr>
        <w:t xml:space="preserve"> He contended that “the essence of the law is not rooted in logic; it is grounded in experience.”.”</w:t>
      </w:r>
      <w:r>
        <w:rPr>
          <w:rStyle w:val="style38"/>
          <w:rFonts w:ascii="Times New Roman" w:cs="Times New Roman" w:hAnsi="Times New Roman"/>
          <w:sz w:val="24"/>
          <w:szCs w:val="24"/>
        </w:rPr>
        <w:footnoteReference w:id="428"/>
      </w:r>
      <w:r>
        <w:rPr>
          <w:rFonts w:ascii="Times New Roman" w:cs="Times New Roman" w:hAnsi="Times New Roman"/>
          <w:sz w:val="24"/>
          <w:szCs w:val="24"/>
        </w:rPr>
        <w:t xml:space="preserve"> This became foundational to realist thought.</w:t>
      </w:r>
      <w:r>
        <w:rPr>
          <w:rStyle w:val="style38"/>
          <w:rFonts w:ascii="Times New Roman" w:cs="Times New Roman" w:hAnsi="Times New Roman"/>
          <w:sz w:val="24"/>
          <w:szCs w:val="24"/>
        </w:rPr>
        <w:footnoteReference w:id="429"/>
      </w:r>
      <w:r>
        <w:rPr>
          <w:rFonts w:ascii="Times New Roman" w:cs="Times New Roman" w:hAnsi="Times New Roman"/>
          <w:sz w:val="24"/>
          <w:szCs w:val="24"/>
        </w:rPr>
        <w:t xml:space="preserve"> Other key figures are Karl Llewellyn, Jerome Frank, and Roscoe Pound in a broader reformist sense.</w:t>
      </w:r>
      <w:r>
        <w:rPr>
          <w:rStyle w:val="style38"/>
          <w:rFonts w:ascii="Times New Roman" w:cs="Times New Roman" w:hAnsi="Times New Roman"/>
          <w:sz w:val="24"/>
          <w:szCs w:val="24"/>
        </w:rPr>
        <w:footnoteReference w:id="430"/>
      </w:r>
      <w:r>
        <w:rPr>
          <w:rFonts w:ascii="Times New Roman" w:cs="Times New Roman" w:hAnsi="Times New Roman"/>
          <w:sz w:val="24"/>
          <w:szCs w:val="24"/>
        </w:rPr>
        <w:t xml:space="preserve"> In Scandinavia, a related realist tradition was developed by thinkers such as Alf Ross and Karl Olivecrona.</w:t>
      </w:r>
      <w:r>
        <w:rPr>
          <w:rStyle w:val="style38"/>
          <w:rFonts w:ascii="Times New Roman" w:cs="Times New Roman" w:hAnsi="Times New Roman"/>
          <w:sz w:val="24"/>
          <w:szCs w:val="24"/>
        </w:rPr>
        <w:footnoteReference w:id="431"/>
      </w:r>
      <w:r>
        <w:rPr>
          <w:rFonts w:ascii="Times New Roman" w:cs="Times New Roman" w:hAnsi="Times New Roman"/>
          <w:sz w:val="24"/>
          <w:szCs w:val="24"/>
        </w:rPr>
        <w:t xml:space="preserve"> They also </w:t>
      </w:r>
      <w:r>
        <w:rPr>
          <w:rFonts w:ascii="Times New Roman" w:cs="Times New Roman" w:hAnsi="Times New Roman"/>
          <w:sz w:val="24"/>
          <w:szCs w:val="24"/>
          <w:lang w:val="en-US"/>
        </w:rPr>
        <w:t>emphasized</w:t>
      </w:r>
      <w:r>
        <w:rPr>
          <w:rFonts w:ascii="Times New Roman" w:cs="Times New Roman" w:hAnsi="Times New Roman"/>
          <w:sz w:val="24"/>
          <w:szCs w:val="24"/>
        </w:rPr>
        <w:t xml:space="preserve"> on the practical operation of law over abstract legal concepts.</w:t>
      </w:r>
      <w:r>
        <w:rPr>
          <w:rStyle w:val="style38"/>
          <w:rFonts w:ascii="Times New Roman" w:cs="Times New Roman" w:hAnsi="Times New Roman"/>
          <w:sz w:val="24"/>
          <w:szCs w:val="24"/>
        </w:rPr>
        <w:footnoteReference w:id="432"/>
      </w:r>
    </w:p>
    <w:p w14:paraId="36D3C0F5">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Legal realism emphasises that court rulings are shaped not only by established regulations but also by factual circumstances, policy issues, and real-world outcomes.</w:t>
      </w:r>
      <w:r>
        <w:rPr>
          <w:rStyle w:val="style38"/>
          <w:rFonts w:ascii="Times New Roman" w:cs="Times New Roman" w:hAnsi="Times New Roman"/>
          <w:sz w:val="24"/>
          <w:szCs w:val="24"/>
        </w:rPr>
        <w:footnoteReference w:id="433"/>
      </w:r>
      <w:r>
        <w:rPr>
          <w:rFonts w:ascii="Times New Roman" w:cs="Times New Roman" w:hAnsi="Times New Roman"/>
          <w:sz w:val="24"/>
          <w:szCs w:val="24"/>
        </w:rPr>
        <w:t xml:space="preserve"> Realism explains why courts across jurisdictions often stretch or reinterpret parentage rules to avoid harming children.</w:t>
      </w:r>
      <w:r>
        <w:rPr>
          <w:rStyle w:val="style38"/>
          <w:rFonts w:ascii="Times New Roman" w:cs="Times New Roman" w:hAnsi="Times New Roman"/>
          <w:sz w:val="24"/>
          <w:szCs w:val="24"/>
        </w:rPr>
        <w:footnoteReference w:id="434"/>
      </w:r>
      <w:r>
        <w:rPr>
          <w:rFonts w:ascii="Times New Roman" w:cs="Times New Roman" w:hAnsi="Times New Roman"/>
          <w:sz w:val="24"/>
          <w:szCs w:val="24"/>
        </w:rPr>
        <w:t xml:space="preserve"> The value of realism for this study is that it helps explain how the courts in Nigeria might approach disputes concerning surrogacy.</w:t>
      </w:r>
      <w:r>
        <w:rPr>
          <w:rStyle w:val="style38"/>
          <w:rFonts w:ascii="Times New Roman" w:cs="Times New Roman" w:hAnsi="Times New Roman"/>
          <w:sz w:val="24"/>
          <w:szCs w:val="24"/>
        </w:rPr>
        <w:footnoteReference w:id="435"/>
      </w:r>
      <w:r>
        <w:rPr>
          <w:rFonts w:ascii="Times New Roman" w:cs="Times New Roman" w:hAnsi="Times New Roman"/>
          <w:sz w:val="24"/>
          <w:szCs w:val="24"/>
        </w:rPr>
        <w:t xml:space="preserve"> Indeed, realism may save individual cases. However, it may leave the legal system uncertain.</w:t>
      </w:r>
      <w:r>
        <w:rPr>
          <w:rStyle w:val="style38"/>
          <w:rFonts w:ascii="Times New Roman" w:cs="Times New Roman" w:hAnsi="Times New Roman"/>
          <w:sz w:val="24"/>
          <w:szCs w:val="24"/>
        </w:rPr>
        <w:footnoteReference w:id="436"/>
      </w:r>
      <w:r>
        <w:rPr>
          <w:rFonts w:ascii="Times New Roman" w:cs="Times New Roman" w:hAnsi="Times New Roman"/>
          <w:sz w:val="24"/>
          <w:szCs w:val="24"/>
        </w:rPr>
        <w:t xml:space="preserve"> That is why judicial creativity cannot substitute for legislative reform.</w:t>
      </w:r>
      <w:r>
        <w:rPr>
          <w:rStyle w:val="style38"/>
          <w:rFonts w:ascii="Times New Roman" w:cs="Times New Roman" w:hAnsi="Times New Roman"/>
          <w:sz w:val="24"/>
          <w:szCs w:val="24"/>
        </w:rPr>
        <w:footnoteReference w:id="437"/>
      </w:r>
    </w:p>
    <w:bookmarkStart w:id="64" w:name="_Toc233678269"/>
    <w:p w14:paraId="2275681B">
      <w:pPr>
        <w:pStyle w:val="style3"/>
        <w:rPr>
          <w:lang w:val="en-US"/>
        </w:rPr>
      </w:pPr>
      <w:r>
        <w:rPr>
          <w:lang w:val="en-US"/>
        </w:rPr>
        <w:t xml:space="preserve">2.9.5 </w:t>
      </w:r>
      <w:r>
        <w:rPr>
          <w:lang w:val="en-US"/>
        </w:rPr>
        <w:tab/>
      </w:r>
      <w:r>
        <w:rPr>
          <w:lang w:val="en-US"/>
        </w:rPr>
        <w:t>Child Welfare and Parentage</w:t>
      </w:r>
      <w:bookmarkEnd w:id="64"/>
    </w:p>
    <w:p w14:paraId="37C4CB74">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In addition to the classical jurisprudential theories, child welfare and parentage specific theories are highly relevant to surrogacy and assisted reproductive technologies.</w:t>
      </w:r>
      <w:r>
        <w:rPr>
          <w:rStyle w:val="style38"/>
          <w:rFonts w:ascii="Times New Roman" w:cs="Times New Roman" w:hAnsi="Times New Roman"/>
          <w:sz w:val="24"/>
          <w:szCs w:val="24"/>
          <w:lang w:val="en-US"/>
        </w:rPr>
        <w:footnoteReference w:id="438"/>
      </w:r>
      <w:r>
        <w:rPr>
          <w:rFonts w:ascii="Times New Roman" w:cs="Times New Roman" w:hAnsi="Times New Roman"/>
          <w:sz w:val="24"/>
          <w:szCs w:val="24"/>
          <w:lang w:val="en-US"/>
        </w:rPr>
        <w:t xml:space="preserve"> These theories explain how courts and legal systems determine legal parenthood and resolve conflicts where biology, intention, and gestation are separated.</w:t>
      </w:r>
      <w:r>
        <w:rPr>
          <w:rStyle w:val="style38"/>
          <w:rFonts w:ascii="Times New Roman" w:cs="Times New Roman" w:hAnsi="Times New Roman"/>
          <w:sz w:val="24"/>
          <w:szCs w:val="24"/>
          <w:lang w:val="en-US"/>
        </w:rPr>
        <w:footnoteReference w:id="439"/>
      </w:r>
    </w:p>
    <w:p w14:paraId="117C6D7D">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A fundamental strategy is the welfare principle, which emphasises the child's best interests as the primary factor in all issues related to custody and parentage.</w:t>
      </w:r>
      <w:r>
        <w:rPr>
          <w:rStyle w:val="style38"/>
          <w:rFonts w:ascii="Times New Roman" w:cs="Times New Roman" w:hAnsi="Times New Roman"/>
          <w:sz w:val="24"/>
          <w:szCs w:val="24"/>
          <w:lang w:val="en-US"/>
        </w:rPr>
        <w:footnoteReference w:id="440"/>
      </w:r>
      <w:r>
        <w:rPr>
          <w:rFonts w:ascii="Times New Roman" w:cs="Times New Roman" w:hAnsi="Times New Roman"/>
          <w:sz w:val="24"/>
          <w:szCs w:val="24"/>
          <w:lang w:val="en-US"/>
        </w:rPr>
        <w:t xml:space="preserve"> This principle is reflected in statutory frameworks such as </w:t>
      </w:r>
      <w:r>
        <w:rPr>
          <w:rFonts w:ascii="Times New Roman" w:cs="Times New Roman" w:hAnsi="Times New Roman"/>
          <w:i/>
          <w:iCs/>
          <w:sz w:val="24"/>
          <w:szCs w:val="24"/>
          <w:lang w:val="en-US"/>
        </w:rPr>
        <w:t>section 1 of the Child’s Rights Act 2003</w:t>
      </w:r>
      <w:r>
        <w:rPr>
          <w:rFonts w:ascii="Times New Roman" w:cs="Times New Roman" w:hAnsi="Times New Roman"/>
          <w:sz w:val="24"/>
          <w:szCs w:val="24"/>
          <w:lang w:val="en-US"/>
        </w:rPr>
        <w:t xml:space="preserve"> and </w:t>
      </w:r>
      <w:r>
        <w:rPr>
          <w:rFonts w:ascii="Times New Roman" w:cs="Times New Roman" w:hAnsi="Times New Roman"/>
          <w:i/>
          <w:iCs/>
          <w:sz w:val="24"/>
          <w:szCs w:val="24"/>
          <w:lang w:val="en-US"/>
        </w:rPr>
        <w:t>section 71 of the MCA.</w:t>
      </w:r>
      <w:r>
        <w:rPr>
          <w:rStyle w:val="style38"/>
          <w:rFonts w:ascii="Times New Roman" w:cs="Times New Roman" w:hAnsi="Times New Roman"/>
          <w:i/>
          <w:iCs/>
          <w:sz w:val="24"/>
          <w:szCs w:val="24"/>
          <w:lang w:val="en-US"/>
        </w:rPr>
        <w:footnoteReference w:id="441"/>
      </w:r>
      <w:r>
        <w:rPr>
          <w:rFonts w:ascii="Times New Roman" w:cs="Times New Roman" w:hAnsi="Times New Roman"/>
          <w:sz w:val="24"/>
          <w:szCs w:val="24"/>
          <w:lang w:val="en-US"/>
        </w:rPr>
        <w:t xml:space="preserve"> It treats the child not as a passive object of parental rights but as an independent rights-holder whose welfare may override strict biological or contractual claims.</w:t>
      </w:r>
      <w:r>
        <w:rPr>
          <w:rStyle w:val="style38"/>
          <w:rFonts w:ascii="Times New Roman" w:cs="Times New Roman" w:hAnsi="Times New Roman"/>
          <w:sz w:val="24"/>
          <w:szCs w:val="24"/>
          <w:lang w:val="en-US"/>
        </w:rPr>
        <w:footnoteReference w:id="442"/>
      </w:r>
    </w:p>
    <w:p w14:paraId="55F170F7">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Closely related is the psychological parent theory, which argues that parenthood should be based on the person who has developed a stable emotional and care-giving relationship with the child, rather than purely genetic or gestational connection.</w:t>
      </w:r>
      <w:r>
        <w:rPr>
          <w:rStyle w:val="style38"/>
          <w:rFonts w:ascii="Times New Roman" w:cs="Times New Roman" w:hAnsi="Times New Roman"/>
          <w:sz w:val="24"/>
          <w:szCs w:val="24"/>
          <w:lang w:val="en-US"/>
        </w:rPr>
        <w:footnoteReference w:id="443"/>
      </w:r>
      <w:r>
        <w:rPr>
          <w:rFonts w:ascii="Times New Roman" w:cs="Times New Roman" w:hAnsi="Times New Roman"/>
          <w:sz w:val="24"/>
          <w:szCs w:val="24"/>
          <w:lang w:val="en-US"/>
        </w:rPr>
        <w:t xml:space="preserve"> This theory is often used in custody disputes where social parenting is more significant than biology.</w:t>
      </w:r>
      <w:r>
        <w:rPr>
          <w:rStyle w:val="style38"/>
          <w:rFonts w:ascii="Times New Roman" w:cs="Times New Roman" w:hAnsi="Times New Roman"/>
          <w:sz w:val="24"/>
          <w:szCs w:val="24"/>
          <w:lang w:val="en-US"/>
        </w:rPr>
        <w:footnoteReference w:id="444"/>
      </w:r>
    </w:p>
    <w:p w14:paraId="091234A8">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Another relevant framework is the intention-based theory of parentage, which is particularly important in ART and surrogacy.</w:t>
      </w:r>
      <w:r>
        <w:rPr>
          <w:rStyle w:val="style38"/>
          <w:rFonts w:ascii="Times New Roman" w:cs="Times New Roman" w:hAnsi="Times New Roman"/>
          <w:sz w:val="24"/>
          <w:szCs w:val="24"/>
          <w:lang w:val="en-US"/>
        </w:rPr>
        <w:footnoteReference w:id="445"/>
      </w:r>
      <w:r>
        <w:rPr>
          <w:rFonts w:ascii="Times New Roman" w:cs="Times New Roman" w:hAnsi="Times New Roman"/>
          <w:sz w:val="24"/>
          <w:szCs w:val="24"/>
          <w:lang w:val="en-US"/>
        </w:rPr>
        <w:t xml:space="preserve"> This concept, rooted in comparative legal studies, posits that legal parenthood ought to be granted to individuals who aimed to facilitate the child's conception and take on parental duties.</w:t>
      </w:r>
      <w:r>
        <w:rPr>
          <w:rStyle w:val="style38"/>
          <w:rFonts w:ascii="Times New Roman" w:cs="Times New Roman" w:hAnsi="Times New Roman"/>
          <w:sz w:val="24"/>
          <w:szCs w:val="24"/>
          <w:lang w:val="en-US"/>
        </w:rPr>
        <w:footnoteReference w:id="446"/>
      </w:r>
      <w:r>
        <w:rPr>
          <w:rFonts w:ascii="Times New Roman" w:cs="Times New Roman" w:hAnsi="Times New Roman"/>
          <w:sz w:val="24"/>
          <w:szCs w:val="24"/>
          <w:lang w:val="en-US"/>
        </w:rPr>
        <w:t xml:space="preserve"> It has been adopted in varying degrees in cases such as </w:t>
      </w:r>
      <w:r>
        <w:rPr>
          <w:rFonts w:ascii="Times New Roman" w:cs="Times New Roman" w:hAnsi="Times New Roman"/>
          <w:i/>
          <w:iCs/>
          <w:sz w:val="24"/>
          <w:szCs w:val="24"/>
          <w:lang w:val="en-US"/>
        </w:rPr>
        <w:t>Johnson v Calvert</w:t>
      </w:r>
      <w:r>
        <w:rPr>
          <w:rFonts w:ascii="Times New Roman" w:cs="Times New Roman" w:hAnsi="Times New Roman"/>
          <w:sz w:val="24"/>
          <w:szCs w:val="24"/>
          <w:lang w:val="en-US"/>
        </w:rPr>
        <w:t>,</w:t>
      </w:r>
      <w:r>
        <w:rPr>
          <w:rStyle w:val="style38"/>
          <w:rFonts w:ascii="Times New Roman" w:cs="Times New Roman" w:hAnsi="Times New Roman"/>
          <w:sz w:val="24"/>
          <w:szCs w:val="24"/>
          <w:lang w:val="en-US"/>
        </w:rPr>
        <w:footnoteReference w:id="447"/>
      </w:r>
      <w:r>
        <w:rPr>
          <w:rFonts w:ascii="Times New Roman" w:cs="Times New Roman" w:hAnsi="Times New Roman"/>
          <w:sz w:val="24"/>
          <w:szCs w:val="24"/>
          <w:lang w:val="en-US"/>
        </w:rPr>
        <w:t xml:space="preserve"> where intention played a decisive role in resolving conflicting claims to motherhood.</w:t>
      </w:r>
    </w:p>
    <w:p w14:paraId="27A8FF37">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lang w:val="en-US"/>
        </w:rPr>
        <w:t>These theories collectively demonstrate that modern family law increasingly moves away from strict biological determinism.</w:t>
      </w:r>
      <w:r>
        <w:rPr>
          <w:rStyle w:val="style38"/>
          <w:rFonts w:ascii="Times New Roman" w:cs="Times New Roman" w:hAnsi="Times New Roman"/>
          <w:sz w:val="24"/>
          <w:szCs w:val="24"/>
          <w:lang w:val="en-US"/>
        </w:rPr>
        <w:footnoteReference w:id="448"/>
      </w:r>
      <w:r>
        <w:rPr>
          <w:rFonts w:ascii="Times New Roman" w:cs="Times New Roman" w:hAnsi="Times New Roman"/>
          <w:sz w:val="24"/>
          <w:szCs w:val="24"/>
          <w:lang w:val="en-US"/>
        </w:rPr>
        <w:t xml:space="preserve"> Instead, courts consider a combination of welfare, intention, and care-giving relationships in determining parentage.</w:t>
      </w:r>
      <w:r>
        <w:rPr>
          <w:rStyle w:val="style38"/>
          <w:rFonts w:ascii="Times New Roman" w:cs="Times New Roman" w:hAnsi="Times New Roman"/>
          <w:sz w:val="24"/>
          <w:szCs w:val="24"/>
          <w:lang w:val="en-US"/>
        </w:rPr>
        <w:footnoteReference w:id="449"/>
      </w:r>
      <w:r>
        <w:rPr>
          <w:rFonts w:ascii="Times New Roman" w:cs="Times New Roman" w:hAnsi="Times New Roman"/>
          <w:sz w:val="24"/>
          <w:szCs w:val="24"/>
          <w:lang w:val="en-US"/>
        </w:rPr>
        <w:t xml:space="preserve"> In the context of Nigeria, where statutory guidance on surrogacy remains limited, these theories provide a useful analytical framework for resolving disputes in a way that protects the child’s stability, identity, and long-term welfare.</w:t>
      </w:r>
    </w:p>
    <w:p w14:paraId="515F5A12">
      <w:pPr>
        <w:pStyle w:val="style0"/>
        <w:spacing w:after="0" w:lineRule="auto" w:line="240"/>
        <w:rPr>
          <w:rFonts w:ascii="Times New Roman" w:cs="Times New Roman" w:hAnsi="Times New Roman"/>
          <w:b/>
          <w:sz w:val="24"/>
          <w:szCs w:val="24"/>
        </w:rPr>
      </w:pPr>
      <w:r>
        <w:rPr>
          <w:rFonts w:ascii="Times New Roman" w:cs="Times New Roman" w:hAnsi="Times New Roman"/>
          <w:b/>
          <w:sz w:val="24"/>
          <w:szCs w:val="24"/>
        </w:rPr>
        <w:br w:type="page"/>
      </w:r>
    </w:p>
    <w:bookmarkStart w:id="65" w:name="_Toc233678270"/>
    <w:p w14:paraId="1335B41B">
      <w:pPr>
        <w:pStyle w:val="style1"/>
        <w:rPr/>
      </w:pPr>
      <w:r>
        <w:t>CHAPTER THREE</w:t>
      </w:r>
      <w:bookmarkEnd w:id="65"/>
    </w:p>
    <w:bookmarkStart w:id="66" w:name="_Toc233678271"/>
    <w:p w14:paraId="56AF8D95">
      <w:pPr>
        <w:pStyle w:val="style1"/>
        <w:rPr/>
      </w:pPr>
      <w:r>
        <w:t>LEGAL AND INSTITUTIONAL FRAMEWORK ON PARENTAGE IN SURROGACY AND ART</w:t>
      </w:r>
      <w:bookmarkEnd w:id="66"/>
    </w:p>
    <w:bookmarkStart w:id="67" w:name="_Toc233678272"/>
    <w:p w14:paraId="311E6CE4">
      <w:pPr>
        <w:pStyle w:val="style2"/>
        <w:rPr/>
      </w:pPr>
      <w:r>
        <w:t xml:space="preserve">3.1 </w:t>
      </w:r>
      <w:r>
        <w:tab/>
      </w:r>
      <w:r>
        <w:t>Legislative Framework on Parentage in Surrogacy and ART in Nigeria</w:t>
      </w:r>
      <w:bookmarkEnd w:id="67"/>
    </w:p>
    <w:p w14:paraId="04E864F8">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This section presents the legislative framework on Parentage in Surrogacy and ART in Nigeria</w:t>
      </w:r>
      <w:r>
        <w:rPr>
          <w:rFonts w:ascii="Times New Roman" w:cs="Times New Roman" w:hAnsi="Times New Roman"/>
          <w:sz w:val="24"/>
          <w:szCs w:val="24"/>
          <w:lang w:val="en-US"/>
        </w:rPr>
        <w:t>.</w:t>
      </w:r>
    </w:p>
    <w:bookmarkStart w:id="68" w:name="_Toc233678273"/>
    <w:p w14:paraId="619B1926">
      <w:pPr>
        <w:pStyle w:val="style3"/>
        <w:rPr/>
      </w:pPr>
      <w:r>
        <w:t xml:space="preserve">3.1.1 </w:t>
      </w:r>
      <w:r>
        <w:tab/>
      </w:r>
      <w:r>
        <w:t>Core Municipal Legislation on Parentage in Surrogacy and ART in Nigeria</w:t>
      </w:r>
      <w:bookmarkEnd w:id="68"/>
    </w:p>
    <w:p w14:paraId="161401A7">
      <w:pPr>
        <w:pStyle w:val="style4"/>
        <w:rPr/>
      </w:pPr>
      <w:r>
        <w:t xml:space="preserve">3.1.1.1 </w:t>
      </w:r>
      <w:r>
        <w:tab/>
      </w:r>
      <w:r>
        <w:t>Constitution of the Federal Republic of Nigeria 1999 (as amended)</w:t>
      </w:r>
    </w:p>
    <w:p w14:paraId="6265E07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Constitution does not specifically address surrogacy or ART. Nonetheless, as the supreme law, it provides the constitutional framework within which disputes concerning legal parentage must be resolved.</w:t>
      </w:r>
      <w:r>
        <w:rPr>
          <w:rStyle w:val="style38"/>
          <w:rFonts w:ascii="Times New Roman" w:cs="Times New Roman" w:hAnsi="Times New Roman"/>
          <w:sz w:val="24"/>
          <w:szCs w:val="24"/>
        </w:rPr>
        <w:footnoteReference w:id="450"/>
      </w:r>
      <w:r>
        <w:rPr>
          <w:rFonts w:ascii="Times New Roman" w:cs="Times New Roman" w:hAnsi="Times New Roman"/>
          <w:sz w:val="24"/>
          <w:szCs w:val="24"/>
        </w:rPr>
        <w:t xml:space="preserve"> It is relevant in four areas. They include dignity, privacy and family life</w:t>
      </w:r>
      <w:r>
        <w:rPr>
          <w:rStyle w:val="style38"/>
          <w:rFonts w:ascii="Times New Roman" w:cs="Times New Roman" w:hAnsi="Times New Roman"/>
          <w:sz w:val="24"/>
          <w:szCs w:val="24"/>
        </w:rPr>
        <w:footnoteReference w:id="451"/>
      </w:r>
      <w:r>
        <w:rPr>
          <w:rFonts w:ascii="Times New Roman" w:cs="Times New Roman" w:hAnsi="Times New Roman"/>
          <w:sz w:val="24"/>
          <w:szCs w:val="24"/>
        </w:rPr>
        <w:t>, equality and non-discrimination, and the protective obligations of the state toward children and family life.</w:t>
      </w:r>
      <w:r>
        <w:rPr>
          <w:rStyle w:val="style38"/>
          <w:rFonts w:ascii="Times New Roman" w:cs="Times New Roman" w:hAnsi="Times New Roman"/>
          <w:sz w:val="24"/>
          <w:szCs w:val="24"/>
        </w:rPr>
        <w:footnoteReference w:id="452"/>
      </w:r>
      <w:r>
        <w:rPr>
          <w:rFonts w:ascii="Times New Roman" w:cs="Times New Roman" w:hAnsi="Times New Roman"/>
          <w:i/>
          <w:iCs/>
          <w:sz w:val="24"/>
          <w:szCs w:val="24"/>
        </w:rPr>
        <w:t>Section 37</w:t>
      </w:r>
      <w:r>
        <w:rPr>
          <w:rFonts w:ascii="Times New Roman" w:cs="Times New Roman" w:hAnsi="Times New Roman"/>
          <w:sz w:val="24"/>
          <w:szCs w:val="24"/>
        </w:rPr>
        <w:t xml:space="preserve"> protects the privacy of citizens, their homes, correspondence, and family life.</w:t>
      </w:r>
      <w:r>
        <w:rPr>
          <w:rStyle w:val="style38"/>
          <w:rFonts w:ascii="Times New Roman" w:cs="Times New Roman" w:hAnsi="Times New Roman"/>
          <w:sz w:val="24"/>
          <w:szCs w:val="24"/>
        </w:rPr>
        <w:footnoteReference w:id="453"/>
      </w:r>
      <w:r>
        <w:rPr>
          <w:rFonts w:ascii="Times New Roman" w:cs="Times New Roman" w:hAnsi="Times New Roman"/>
          <w:i/>
          <w:iCs/>
          <w:sz w:val="24"/>
          <w:szCs w:val="24"/>
        </w:rPr>
        <w:t>Section 42</w:t>
      </w:r>
      <w:r>
        <w:rPr>
          <w:rFonts w:ascii="Times New Roman" w:cs="Times New Roman" w:hAnsi="Times New Roman"/>
          <w:sz w:val="24"/>
          <w:szCs w:val="24"/>
        </w:rPr>
        <w:t xml:space="preserve"> forbids depreviation solely based on the conditions of one's birth.</w:t>
      </w:r>
      <w:r>
        <w:rPr>
          <w:rStyle w:val="style38"/>
          <w:rFonts w:ascii="Times New Roman" w:cs="Times New Roman" w:hAnsi="Times New Roman"/>
          <w:sz w:val="24"/>
          <w:szCs w:val="24"/>
        </w:rPr>
        <w:footnoteReference w:id="454"/>
      </w:r>
      <w:r>
        <w:rPr>
          <w:rFonts w:ascii="Times New Roman" w:cs="Times New Roman" w:hAnsi="Times New Roman"/>
          <w:i/>
          <w:iCs/>
          <w:sz w:val="24"/>
          <w:szCs w:val="24"/>
        </w:rPr>
        <w:t xml:space="preserve">Section 34 </w:t>
      </w:r>
      <w:r>
        <w:rPr>
          <w:rFonts w:ascii="Times New Roman" w:cs="Times New Roman" w:hAnsi="Times New Roman"/>
          <w:sz w:val="24"/>
          <w:szCs w:val="24"/>
        </w:rPr>
        <w:t xml:space="preserve">guarantees the dignity of the human person and is engaged in surrogacy and ART arrangements by requiring that the child be </w:t>
      </w:r>
      <w:r>
        <w:rPr>
          <w:rFonts w:ascii="Times New Roman" w:cs="Times New Roman" w:hAnsi="Times New Roman"/>
          <w:sz w:val="24"/>
          <w:szCs w:val="24"/>
          <w:lang w:val="en-US"/>
        </w:rPr>
        <w:t>recognized</w:t>
      </w:r>
      <w:r>
        <w:rPr>
          <w:rFonts w:ascii="Times New Roman" w:cs="Times New Roman" w:hAnsi="Times New Roman"/>
          <w:sz w:val="24"/>
          <w:szCs w:val="24"/>
        </w:rPr>
        <w:t xml:space="preserve"> as a person of equal worth with a secure legal identity, while also ensuring that the surrogate mother is not reduced to a mere instrument of reproduction and that the desires of the intended parents regarding family creation are honoured</w:t>
      </w:r>
      <w:r>
        <w:rPr>
          <w:rFonts w:ascii="Times New Roman" w:cs="Times New Roman" w:hAnsi="Times New Roman"/>
          <w:sz w:val="24"/>
          <w:szCs w:val="24"/>
          <w:lang w:val="en-US"/>
        </w:rPr>
        <w:t>.</w:t>
      </w:r>
      <w:r>
        <w:rPr>
          <w:rStyle w:val="style38"/>
          <w:rFonts w:ascii="Times New Roman" w:cs="Times New Roman" w:hAnsi="Times New Roman"/>
          <w:sz w:val="24"/>
          <w:szCs w:val="24"/>
        </w:rPr>
        <w:footnoteReference w:id="455"/>
      </w:r>
      <w:r>
        <w:rPr>
          <w:rFonts w:ascii="Times New Roman" w:cs="Times New Roman" w:hAnsi="Times New Roman"/>
          <w:i/>
          <w:iCs/>
          <w:sz w:val="24"/>
          <w:szCs w:val="24"/>
        </w:rPr>
        <w:t xml:space="preserve">Chapter II </w:t>
      </w:r>
      <w:r>
        <w:rPr>
          <w:rFonts w:ascii="Times New Roman" w:cs="Times New Roman" w:hAnsi="Times New Roman"/>
          <w:sz w:val="24"/>
          <w:szCs w:val="24"/>
        </w:rPr>
        <w:t>contains welfare-oriented directives and these are relevant to family protection and child development.</w:t>
      </w:r>
      <w:r>
        <w:rPr>
          <w:rStyle w:val="style38"/>
          <w:rFonts w:ascii="Times New Roman" w:cs="Times New Roman" w:hAnsi="Times New Roman"/>
          <w:sz w:val="24"/>
          <w:szCs w:val="24"/>
        </w:rPr>
        <w:footnoteReference w:id="456"/>
      </w:r>
      <w:r>
        <w:rPr>
          <w:rFonts w:ascii="Times New Roman" w:cs="Times New Roman" w:hAnsi="Times New Roman"/>
          <w:sz w:val="24"/>
          <w:szCs w:val="24"/>
        </w:rPr>
        <w:t xml:space="preserve"> Chapter II is non-justiciable.</w:t>
      </w:r>
      <w:r>
        <w:rPr>
          <w:rStyle w:val="style38"/>
          <w:rFonts w:ascii="Times New Roman" w:cs="Times New Roman" w:hAnsi="Times New Roman"/>
          <w:sz w:val="24"/>
          <w:szCs w:val="24"/>
        </w:rPr>
        <w:footnoteReference w:id="457"/>
      </w:r>
      <w:r>
        <w:rPr>
          <w:rFonts w:ascii="Times New Roman" w:cs="Times New Roman" w:hAnsi="Times New Roman"/>
          <w:sz w:val="24"/>
          <w:szCs w:val="24"/>
        </w:rPr>
        <w:t xml:space="preserve"> Even so, it still supplies interpretive values. The Constitution prohibits</w:t>
      </w:r>
      <w:r>
        <w:rPr>
          <w:rStyle w:val="style87"/>
          <w:rFonts w:ascii="Times New Roman" w:cs="Times New Roman" w:hAnsi="Times New Roman"/>
          <w:b w:val="false"/>
          <w:sz w:val="24"/>
          <w:szCs w:val="24"/>
        </w:rPr>
        <w:t xml:space="preserve"> discrimination due to the conditions of one's birth</w:t>
      </w:r>
      <w:r>
        <w:rPr>
          <w:rFonts w:ascii="Times New Roman" w:cs="Times New Roman" w:hAnsi="Times New Roman"/>
          <w:sz w:val="24"/>
          <w:szCs w:val="24"/>
        </w:rPr>
        <w:t>.</w:t>
      </w:r>
      <w:r>
        <w:rPr>
          <w:rStyle w:val="style38"/>
          <w:rFonts w:ascii="Times New Roman" w:cs="Times New Roman" w:hAnsi="Times New Roman"/>
          <w:sz w:val="24"/>
          <w:szCs w:val="24"/>
        </w:rPr>
        <w:footnoteReference w:id="458"/>
      </w:r>
      <w:r>
        <w:rPr>
          <w:rFonts w:ascii="Times New Roman" w:cs="Times New Roman" w:hAnsi="Times New Roman"/>
          <w:sz w:val="24"/>
          <w:szCs w:val="24"/>
        </w:rPr>
        <w:t xml:space="preserve"> The courts in Nigeria have </w:t>
      </w:r>
      <w:r>
        <w:rPr>
          <w:rFonts w:ascii="Times New Roman" w:cs="Times New Roman" w:hAnsi="Times New Roman"/>
          <w:sz w:val="24"/>
          <w:szCs w:val="24"/>
          <w:lang w:val="en-US"/>
        </w:rPr>
        <w:t xml:space="preserve">used </w:t>
      </w:r>
      <w:r>
        <w:rPr>
          <w:rFonts w:ascii="Times New Roman" w:cs="Times New Roman" w:hAnsi="Times New Roman"/>
          <w:sz w:val="24"/>
          <w:szCs w:val="24"/>
        </w:rPr>
        <w:t xml:space="preserve">this provision to strike down family rules that are discriminatory. In </w:t>
      </w:r>
      <w:r>
        <w:rPr>
          <w:rStyle w:val="style87"/>
          <w:rFonts w:ascii="Times New Roman" w:cs="Times New Roman" w:hAnsi="Times New Roman"/>
          <w:b w:val="false"/>
          <w:i/>
          <w:iCs/>
          <w:sz w:val="24"/>
          <w:szCs w:val="24"/>
        </w:rPr>
        <w:t>Ukeje v Ukeje</w:t>
      </w:r>
      <w:r>
        <w:rPr>
          <w:rFonts w:ascii="Times New Roman" w:cs="Times New Roman" w:hAnsi="Times New Roman"/>
          <w:sz w:val="24"/>
          <w:szCs w:val="24"/>
        </w:rPr>
        <w:t>,</w:t>
      </w:r>
      <w:r>
        <w:rPr>
          <w:rStyle w:val="style38"/>
          <w:rFonts w:ascii="Times New Roman" w:cs="Times New Roman" w:hAnsi="Times New Roman"/>
          <w:sz w:val="24"/>
          <w:szCs w:val="24"/>
        </w:rPr>
        <w:footnoteReference w:id="459"/>
      </w:r>
      <w:r>
        <w:rPr>
          <w:rFonts w:ascii="Times New Roman" w:cs="Times New Roman" w:hAnsi="Times New Roman"/>
          <w:sz w:val="24"/>
          <w:szCs w:val="24"/>
        </w:rPr>
        <w:t xml:space="preserve"> the Supreme Court held that a female child cannot be denied inheritance under Igbo customary law because such exclusion offends the equality. This is similar with the court’s decision in </w:t>
      </w:r>
      <w:r>
        <w:rPr>
          <w:rStyle w:val="style87"/>
          <w:rFonts w:ascii="Times New Roman" w:cs="Times New Roman" w:hAnsi="Times New Roman"/>
          <w:b w:val="false"/>
          <w:i/>
          <w:iCs/>
          <w:sz w:val="24"/>
          <w:szCs w:val="24"/>
        </w:rPr>
        <w:t>Mojekwu v Mojekwu</w:t>
      </w:r>
      <w:r>
        <w:rPr>
          <w:rStyle w:val="style87"/>
          <w:rFonts w:ascii="Times New Roman" w:cs="Times New Roman" w:hAnsi="Times New Roman"/>
          <w:b w:val="false"/>
          <w:sz w:val="24"/>
          <w:szCs w:val="24"/>
        </w:rPr>
        <w:t>,</w:t>
      </w:r>
      <w:r>
        <w:rPr>
          <w:rStyle w:val="style38"/>
          <w:rFonts w:ascii="Times New Roman" w:cs="Times New Roman" w:hAnsi="Times New Roman"/>
          <w:bCs/>
          <w:sz w:val="24"/>
          <w:szCs w:val="24"/>
        </w:rPr>
        <w:footnoteReference w:id="460"/>
      </w:r>
      <w:r>
        <w:rPr>
          <w:rStyle w:val="style87"/>
          <w:rFonts w:ascii="Times New Roman" w:cs="Times New Roman" w:hAnsi="Times New Roman"/>
          <w:b w:val="false"/>
          <w:sz w:val="24"/>
          <w:szCs w:val="24"/>
        </w:rPr>
        <w:t xml:space="preserve"> where the court challenged </w:t>
      </w:r>
      <w:r>
        <w:rPr>
          <w:rFonts w:ascii="Times New Roman" w:cs="Times New Roman" w:hAnsi="Times New Roman"/>
          <w:sz w:val="24"/>
          <w:szCs w:val="24"/>
        </w:rPr>
        <w:t>customary succession which are discriminatory.  Indeed, those cases were not ART cases, however their decision are transferable.</w:t>
      </w:r>
      <w:r>
        <w:rPr>
          <w:rStyle w:val="style38"/>
          <w:rFonts w:ascii="Times New Roman" w:cs="Times New Roman" w:hAnsi="Times New Roman"/>
          <w:sz w:val="24"/>
          <w:szCs w:val="24"/>
        </w:rPr>
        <w:footnoteReference w:id="461"/>
      </w:r>
    </w:p>
    <w:p w14:paraId="548D2655">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 xml:space="preserve">ART involves sensitive medical information (this includes infertility diagnoses, donor identity, gamete source, pregnancy arrangements and DNA evidence). Hence, the constitution frames privacy in reproductive disputes. In </w:t>
      </w:r>
      <w:r>
        <w:rPr>
          <w:rStyle w:val="style87"/>
          <w:rFonts w:ascii="Times New Roman" w:cs="Times New Roman" w:hAnsi="Times New Roman"/>
          <w:b w:val="false"/>
          <w:i/>
          <w:iCs/>
          <w:sz w:val="24"/>
          <w:szCs w:val="24"/>
        </w:rPr>
        <w:t>Tony Anozia v Patricia Okwunwa Nnani</w:t>
      </w:r>
      <w:r>
        <w:rPr>
          <w:rStyle w:val="style87"/>
          <w:rFonts w:ascii="Times New Roman" w:cs="Times New Roman" w:hAnsi="Times New Roman"/>
          <w:b w:val="false"/>
          <w:i/>
          <w:iCs/>
          <w:sz w:val="24"/>
          <w:szCs w:val="24"/>
          <w:lang w:val="en-US"/>
        </w:rPr>
        <w:t xml:space="preserve"> and anor</w:t>
      </w:r>
      <w:r>
        <w:rPr>
          <w:rFonts w:ascii="Times New Roman" w:cs="Times New Roman" w:hAnsi="Times New Roman"/>
          <w:sz w:val="24"/>
          <w:szCs w:val="24"/>
        </w:rPr>
        <w:t>,</w:t>
      </w:r>
      <w:r>
        <w:rPr>
          <w:rStyle w:val="style38"/>
          <w:rFonts w:ascii="Times New Roman" w:cs="Times New Roman" w:hAnsi="Times New Roman"/>
          <w:sz w:val="24"/>
          <w:szCs w:val="24"/>
        </w:rPr>
        <w:footnoteReference w:id="462"/>
      </w:r>
      <w:r>
        <w:rPr>
          <w:rFonts w:ascii="Times New Roman" w:cs="Times New Roman" w:hAnsi="Times New Roman"/>
          <w:sz w:val="24"/>
          <w:szCs w:val="24"/>
        </w:rPr>
        <w:t xml:space="preserve"> the Court of Appeal dealt with a request connected to DNA evidence in a sensitive factual setting. The court held that indeed scientific proof may help establish parentage. However, while </w:t>
      </w:r>
      <w:r>
        <w:rPr>
          <w:rFonts w:ascii="Times New Roman" w:cs="Times New Roman" w:hAnsi="Times New Roman"/>
          <w:sz w:val="24"/>
          <w:szCs w:val="24"/>
          <w:lang w:val="en-US"/>
        </w:rPr>
        <w:t>recognizing</w:t>
      </w:r>
      <w:r>
        <w:rPr>
          <w:rFonts w:ascii="Times New Roman" w:cs="Times New Roman" w:hAnsi="Times New Roman"/>
          <w:sz w:val="24"/>
          <w:szCs w:val="24"/>
        </w:rPr>
        <w:t xml:space="preserve"> the evidential value of DNA testing, it is arguable that constitutional guarantees of privacy under </w:t>
      </w:r>
      <w:r>
        <w:rPr>
          <w:rFonts w:ascii="Times New Roman" w:cs="Times New Roman" w:hAnsi="Times New Roman"/>
          <w:i/>
          <w:iCs/>
          <w:sz w:val="24"/>
          <w:szCs w:val="24"/>
        </w:rPr>
        <w:t xml:space="preserve">section 37 </w:t>
      </w:r>
      <w:r>
        <w:rPr>
          <w:rFonts w:ascii="Times New Roman" w:cs="Times New Roman" w:hAnsi="Times New Roman"/>
          <w:sz w:val="24"/>
          <w:szCs w:val="24"/>
        </w:rPr>
        <w:t>require that such intimate reproductive matters be handled with caution so as to avoid unnecessary intrusion. The Constitution is relevant to surrogacy because it supplies the foundational rights within which any surrogacy legislation or judicial interpretation must operate.</w:t>
      </w:r>
      <w:r>
        <w:rPr>
          <w:rStyle w:val="style38"/>
          <w:rFonts w:ascii="Times New Roman" w:cs="Times New Roman" w:hAnsi="Times New Roman"/>
          <w:sz w:val="24"/>
          <w:szCs w:val="24"/>
        </w:rPr>
        <w:footnoteReference w:id="463"/>
      </w:r>
      <w:r>
        <w:rPr>
          <w:rFonts w:ascii="Times New Roman" w:cs="Times New Roman" w:hAnsi="Times New Roman"/>
          <w:sz w:val="24"/>
          <w:szCs w:val="24"/>
        </w:rPr>
        <w:t xml:space="preserve"> However, the Constitution does not define motherhood, fatherhood, legal parentage, donor status</w:t>
      </w:r>
      <w:r>
        <w:rPr>
          <w:rFonts w:ascii="Times New Roman" w:cs="Times New Roman" w:hAnsi="Times New Roman"/>
          <w:sz w:val="24"/>
          <w:szCs w:val="24"/>
          <w:lang w:val="en-US"/>
        </w:rPr>
        <w:t>,</w:t>
      </w:r>
      <w:r>
        <w:rPr>
          <w:rFonts w:ascii="Times New Roman" w:cs="Times New Roman" w:hAnsi="Times New Roman"/>
          <w:sz w:val="24"/>
          <w:szCs w:val="24"/>
        </w:rPr>
        <w:t xml:space="preserve"> or the effect of surrogacy agreements. Its provisions are therefore enabling but not determinative.  Consequently, the constitution may guide reform and judicial interpretation. However, it cannot by itself resolve the issue of parentage in surrogacy</w:t>
      </w:r>
      <w:r>
        <w:rPr>
          <w:rFonts w:ascii="Times New Roman" w:cs="Times New Roman" w:hAnsi="Times New Roman"/>
          <w:sz w:val="24"/>
          <w:szCs w:val="24"/>
          <w:lang w:val="en-US"/>
        </w:rPr>
        <w:t>.</w:t>
      </w:r>
    </w:p>
    <w:p w14:paraId="0C62A149">
      <w:pPr>
        <w:pStyle w:val="style4"/>
        <w:rPr/>
      </w:pPr>
      <w:r>
        <w:t>3.1.1.2</w:t>
      </w:r>
      <w:r>
        <w:tab/>
      </w:r>
      <w:r>
        <w:tab/>
      </w:r>
      <w:r>
        <w:t>CRA 2003</w:t>
      </w:r>
    </w:p>
    <w:p w14:paraId="7AECAD3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w:t>
      </w:r>
      <w:r>
        <w:rPr>
          <w:rFonts w:ascii="Times New Roman" w:cs="Times New Roman" w:hAnsi="Times New Roman"/>
          <w:i/>
          <w:iCs/>
          <w:sz w:val="24"/>
          <w:szCs w:val="24"/>
        </w:rPr>
        <w:t>CRA (CRA)</w:t>
      </w:r>
      <w:r>
        <w:rPr>
          <w:rStyle w:val="style38"/>
          <w:rFonts w:ascii="Times New Roman" w:cs="Times New Roman" w:hAnsi="Times New Roman"/>
          <w:sz w:val="24"/>
          <w:szCs w:val="24"/>
        </w:rPr>
        <w:footnoteReference w:id="464"/>
      </w:r>
      <w:r>
        <w:rPr>
          <w:rFonts w:ascii="Times New Roman" w:cs="Times New Roman" w:hAnsi="Times New Roman"/>
          <w:sz w:val="24"/>
          <w:szCs w:val="24"/>
        </w:rPr>
        <w:t xml:space="preserve"> is a child-centred statute. </w:t>
      </w:r>
      <w:r>
        <w:rPr>
          <w:rFonts w:ascii="Times New Roman" w:cs="Times New Roman" w:hAnsi="Times New Roman"/>
          <w:i/>
          <w:iCs/>
          <w:sz w:val="24"/>
          <w:szCs w:val="24"/>
        </w:rPr>
        <w:t>Section 1</w:t>
      </w:r>
      <w:r>
        <w:rPr>
          <w:rFonts w:ascii="Times New Roman" w:cs="Times New Roman" w:hAnsi="Times New Roman"/>
          <w:sz w:val="24"/>
          <w:szCs w:val="24"/>
        </w:rPr>
        <w:t xml:space="preserve"> provides that in every action concerning a child,</w:t>
      </w:r>
      <w:r>
        <w:rPr>
          <w:rStyle w:val="style38"/>
          <w:rFonts w:ascii="Times New Roman" w:cs="Times New Roman" w:hAnsi="Times New Roman"/>
          <w:sz w:val="24"/>
          <w:szCs w:val="24"/>
        </w:rPr>
        <w:footnoteReference w:id="465"/>
      </w:r>
      <w:r>
        <w:rPr>
          <w:rFonts w:ascii="Times New Roman" w:cs="Times New Roman" w:hAnsi="Times New Roman"/>
          <w:sz w:val="24"/>
          <w:szCs w:val="24"/>
        </w:rPr>
        <w:t xml:space="preserve"> the child's best interest will be the foremost priority. Section 3 incorporates the fundamental rights framework from the constitution into the context of child rights.</w:t>
      </w:r>
      <w:r>
        <w:rPr>
          <w:rStyle w:val="style38"/>
          <w:rFonts w:ascii="Times New Roman" w:cs="Times New Roman" w:hAnsi="Times New Roman"/>
          <w:sz w:val="24"/>
          <w:szCs w:val="24"/>
        </w:rPr>
        <w:footnoteReference w:id="466"/>
      </w:r>
      <w:r>
        <w:rPr>
          <w:rFonts w:ascii="Times New Roman" w:cs="Times New Roman" w:hAnsi="Times New Roman"/>
          <w:i/>
          <w:iCs/>
          <w:sz w:val="24"/>
          <w:szCs w:val="24"/>
        </w:rPr>
        <w:t xml:space="preserve">Section 4 </w:t>
      </w:r>
      <w:r>
        <w:rPr>
          <w:rFonts w:ascii="Times New Roman" w:cs="Times New Roman" w:hAnsi="Times New Roman"/>
          <w:sz w:val="24"/>
          <w:szCs w:val="24"/>
        </w:rPr>
        <w:t>protects survival and development.</w:t>
      </w:r>
      <w:r>
        <w:rPr>
          <w:rStyle w:val="style38"/>
          <w:rFonts w:ascii="Times New Roman" w:cs="Times New Roman" w:hAnsi="Times New Roman"/>
          <w:sz w:val="24"/>
          <w:szCs w:val="24"/>
        </w:rPr>
        <w:footnoteReference w:id="467"/>
      </w:r>
      <w:r>
        <w:rPr>
          <w:rFonts w:ascii="Times New Roman" w:cs="Times New Roman" w:hAnsi="Times New Roman"/>
          <w:i/>
          <w:iCs/>
          <w:sz w:val="24"/>
          <w:szCs w:val="24"/>
        </w:rPr>
        <w:t>Section 5</w:t>
      </w:r>
      <w:r>
        <w:rPr>
          <w:rFonts w:ascii="Times New Roman" w:cs="Times New Roman" w:hAnsi="Times New Roman"/>
          <w:sz w:val="24"/>
          <w:szCs w:val="24"/>
        </w:rPr>
        <w:t xml:space="preserve"> secures the child’s right to a name.</w:t>
      </w:r>
      <w:r>
        <w:rPr>
          <w:rStyle w:val="style38"/>
          <w:rFonts w:ascii="Times New Roman" w:cs="Times New Roman" w:hAnsi="Times New Roman"/>
          <w:sz w:val="24"/>
          <w:szCs w:val="24"/>
        </w:rPr>
        <w:footnoteReference w:id="468"/>
      </w:r>
      <w:r>
        <w:rPr>
          <w:rFonts w:ascii="Times New Roman" w:cs="Times New Roman" w:hAnsi="Times New Roman"/>
          <w:i/>
          <w:iCs/>
          <w:sz w:val="24"/>
          <w:szCs w:val="24"/>
        </w:rPr>
        <w:t>Section 8</w:t>
      </w:r>
      <w:r>
        <w:rPr>
          <w:rFonts w:ascii="Times New Roman" w:cs="Times New Roman" w:hAnsi="Times New Roman"/>
          <w:sz w:val="24"/>
          <w:szCs w:val="24"/>
        </w:rPr>
        <w:t xml:space="preserve"> protects private and family life.</w:t>
      </w:r>
      <w:r>
        <w:rPr>
          <w:rStyle w:val="style38"/>
          <w:rFonts w:ascii="Times New Roman" w:cs="Times New Roman" w:hAnsi="Times New Roman"/>
          <w:sz w:val="24"/>
          <w:szCs w:val="24"/>
        </w:rPr>
        <w:footnoteReference w:id="469"/>
      </w:r>
      <w:r>
        <w:rPr>
          <w:rFonts w:ascii="Times New Roman" w:cs="Times New Roman" w:hAnsi="Times New Roman"/>
          <w:sz w:val="24"/>
          <w:szCs w:val="24"/>
        </w:rPr>
        <w:t xml:space="preserve"> In a surrogacy dispute, a contract-based approach may reduce the child to the object of competing claims by adults. </w:t>
      </w:r>
      <w:r>
        <w:rPr>
          <w:rFonts w:ascii="Times New Roman" w:cs="Times New Roman" w:hAnsi="Times New Roman"/>
          <w:i/>
          <w:iCs/>
          <w:sz w:val="24"/>
          <w:szCs w:val="24"/>
        </w:rPr>
        <w:t>The CRA</w:t>
      </w:r>
      <w:r>
        <w:rPr>
          <w:rFonts w:ascii="Times New Roman" w:cs="Times New Roman" w:hAnsi="Times New Roman"/>
          <w:sz w:val="24"/>
          <w:szCs w:val="24"/>
        </w:rPr>
        <w:t xml:space="preserve"> mitigates this tendency by making the best interests of the child the primary consideration in all actions concerning a child, thereby ensuring that welfare prevails over purely contractual claims.</w:t>
      </w:r>
      <w:r>
        <w:rPr>
          <w:rStyle w:val="style38"/>
          <w:rFonts w:ascii="Times New Roman" w:cs="Times New Roman" w:hAnsi="Times New Roman"/>
          <w:sz w:val="24"/>
          <w:szCs w:val="24"/>
        </w:rPr>
        <w:footnoteReference w:id="470"/>
      </w:r>
      <w:r>
        <w:rPr>
          <w:rFonts w:ascii="Times New Roman" w:cs="Times New Roman" w:hAnsi="Times New Roman"/>
          <w:sz w:val="24"/>
          <w:szCs w:val="24"/>
        </w:rPr>
        <w:t xml:space="preserve"> This aligns with the reasoning in </w:t>
      </w:r>
      <w:r>
        <w:rPr>
          <w:rStyle w:val="style87"/>
          <w:rFonts w:ascii="Times New Roman" w:cs="Times New Roman" w:hAnsi="Times New Roman"/>
          <w:b w:val="false"/>
          <w:i/>
          <w:iCs/>
          <w:sz w:val="24"/>
          <w:szCs w:val="24"/>
        </w:rPr>
        <w:t>Williams v Williams</w:t>
      </w:r>
      <w:r>
        <w:rPr>
          <w:rFonts w:ascii="Times New Roman" w:cs="Times New Roman" w:hAnsi="Times New Roman"/>
          <w:sz w:val="24"/>
          <w:szCs w:val="24"/>
        </w:rPr>
        <w:t>,</w:t>
      </w:r>
      <w:r>
        <w:rPr>
          <w:rStyle w:val="style38"/>
          <w:rFonts w:ascii="Times New Roman" w:cs="Times New Roman" w:hAnsi="Times New Roman"/>
          <w:sz w:val="24"/>
          <w:szCs w:val="24"/>
        </w:rPr>
        <w:footnoteReference w:id="471"/>
      </w:r>
      <w:r>
        <w:rPr>
          <w:rFonts w:ascii="Times New Roman" w:cs="Times New Roman" w:hAnsi="Times New Roman"/>
          <w:sz w:val="24"/>
          <w:szCs w:val="24"/>
        </w:rPr>
        <w:t xml:space="preserve"> where the Supreme Court made welfare the dominant consideration in custody disputes. </w:t>
      </w:r>
    </w:p>
    <w:p w14:paraId="64F2F6E8">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Act also protects the child's rights to survival, development, identity, name and family life.</w:t>
      </w:r>
      <w:r>
        <w:rPr>
          <w:rStyle w:val="style38"/>
          <w:rFonts w:ascii="Times New Roman" w:cs="Times New Roman" w:hAnsi="Times New Roman"/>
          <w:sz w:val="24"/>
          <w:szCs w:val="24"/>
        </w:rPr>
        <w:footnoteReference w:id="472"/>
      </w:r>
      <w:r>
        <w:rPr>
          <w:rFonts w:ascii="Times New Roman" w:cs="Times New Roman" w:hAnsi="Times New Roman"/>
          <w:sz w:val="24"/>
          <w:szCs w:val="24"/>
        </w:rPr>
        <w:t>However, it was not enacted to regulate ART or surrogacy. It does not clarify parentage in donor conception nor address the transfer of parentage from a surrogate to intended parents, donor anonymity, or the relationship between surrogacy agreements and the child's best interests. As a result, although the CRA sets the foundational welfare principle, it fails to offer the legal structure necessary for establishing parentage in intricate ART situations.</w:t>
      </w:r>
    </w:p>
    <w:p w14:paraId="2171186D">
      <w:pPr>
        <w:pStyle w:val="style4"/>
        <w:rPr/>
      </w:pPr>
      <w:r>
        <w:t xml:space="preserve">3.1.1.3 </w:t>
      </w:r>
      <w:r>
        <w:tab/>
      </w:r>
      <w:r>
        <w:t>Matrimonial Causes Act (MCA)</w:t>
      </w:r>
    </w:p>
    <w:p w14:paraId="5BF3C070">
      <w:pPr>
        <w:pStyle w:val="style94"/>
        <w:spacing w:lineRule="auto" w:line="480"/>
        <w:jc w:val="both"/>
        <w:rPr/>
      </w:pPr>
      <w:r>
        <w:rPr>
          <w:i/>
          <w:iCs/>
        </w:rPr>
        <w:t xml:space="preserve">The MCA </w:t>
      </w:r>
      <w:r>
        <w:t xml:space="preserve">is relevant because parentage affects custody, maintenance and other matrimonial proceedings. </w:t>
      </w:r>
      <w:r>
        <w:rPr>
          <w:i/>
          <w:iCs/>
        </w:rPr>
        <w:t xml:space="preserve">Section 71 </w:t>
      </w:r>
      <w:r>
        <w:t xml:space="preserve">grants the authority to the court to decide custody based on what is most beneficial for the child, while </w:t>
      </w:r>
      <w:r>
        <w:rPr>
          <w:i/>
          <w:iCs/>
        </w:rPr>
        <w:t>sections 69–73</w:t>
      </w:r>
      <w:r>
        <w:t xml:space="preserve"> provide the framework for custody and maintenance.</w:t>
      </w:r>
      <w:r>
        <w:rPr>
          <w:rStyle w:val="style38"/>
        </w:rPr>
        <w:footnoteReference w:id="473"/>
      </w:r>
      <w:r>
        <w:t>Where ART is used within marriage, the Act may govern the legal consequences of family disputes. However, it presupposes a conventional marital family and does not determine how a child born through donor conception or surrogacy acquires legal parentage. Consequently, it cannot resolve the antecedent question of who is legally entitled to invoke its custody and maintenance provisions.</w:t>
      </w:r>
    </w:p>
    <w:p w14:paraId="14CB9323">
      <w:pPr>
        <w:pStyle w:val="style4"/>
        <w:rPr/>
      </w:pPr>
      <w:r>
        <w:t xml:space="preserve">3.1.1.4 </w:t>
      </w:r>
      <w:r>
        <w:tab/>
      </w:r>
      <w:r>
        <w:t>Matrimonial Causes Rules</w:t>
      </w:r>
    </w:p>
    <w:p w14:paraId="032ABC39">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Matrimonial Causes Rules are procedural rather than substantive. Where parentage disputes arise during marriage breakdown or proceedings relating to custody, maintenance, legitimacy or family status, they govern matters such as pleadings, joinder, evidence and interlocutory relief.</w:t>
      </w:r>
      <w:r>
        <w:rPr>
          <w:rStyle w:val="style38"/>
          <w:rFonts w:ascii="Times New Roman" w:cs="Times New Roman" w:hAnsi="Times New Roman"/>
          <w:sz w:val="24"/>
          <w:szCs w:val="24"/>
        </w:rPr>
        <w:footnoteReference w:id="474"/>
      </w:r>
      <w:r>
        <w:rPr>
          <w:rFonts w:ascii="Times New Roman" w:cs="Times New Roman" w:hAnsi="Times New Roman"/>
          <w:sz w:val="24"/>
          <w:szCs w:val="24"/>
        </w:rPr>
        <w:t xml:space="preserve"> In the absence of a surrogacy-parentage statute, these Rules provide the procedural framework for pursuing relief but do not create legal parentage or confer legal effect on surrogacy agreements.</w:t>
      </w:r>
      <w:r>
        <w:rPr>
          <w:rStyle w:val="style38"/>
          <w:rFonts w:ascii="Times New Roman" w:cs="Times New Roman" w:hAnsi="Times New Roman"/>
          <w:sz w:val="24"/>
          <w:szCs w:val="24"/>
        </w:rPr>
        <w:footnoteReference w:id="475"/>
      </w:r>
    </w:p>
    <w:p w14:paraId="66A02B26">
      <w:pPr>
        <w:pStyle w:val="style4"/>
        <w:rPr/>
      </w:pPr>
      <w:r>
        <w:t xml:space="preserve">3.1.1.5 </w:t>
      </w:r>
      <w:r>
        <w:tab/>
      </w:r>
      <w:r>
        <w:t>Evidence Act 2011</w:t>
      </w:r>
    </w:p>
    <w:p w14:paraId="35972F9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Evidence Act regulates assumptions, validation, and the acceptance of biological evidence in matters of parentage conflicts. Section 165 assumes that a child born during a lawful marriage, or within 280 days following its termination while the mother is still single, is considered the legitimate offspring of the husband.</w:t>
      </w:r>
      <w:r>
        <w:rPr>
          <w:rStyle w:val="style38"/>
          <w:rFonts w:ascii="Times New Roman" w:cs="Times New Roman" w:hAnsi="Times New Roman"/>
          <w:sz w:val="24"/>
          <w:szCs w:val="24"/>
        </w:rPr>
        <w:footnoteReference w:id="476"/>
      </w:r>
      <w:r>
        <w:rPr>
          <w:rFonts w:ascii="Times New Roman" w:cs="Times New Roman" w:hAnsi="Times New Roman"/>
          <w:sz w:val="24"/>
          <w:szCs w:val="24"/>
        </w:rPr>
        <w:t xml:space="preserve"> Although this protects children from challenges to their status, it is less suited to ART, where biological, gestational and intentional parenthood may diverge.</w:t>
      </w:r>
    </w:p>
    <w:p w14:paraId="7B610671">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DNA testing further complicates this presumption.</w:t>
      </w:r>
      <w:r>
        <w:rPr>
          <w:rFonts w:ascii="Times New Roman" w:cs="Times New Roman" w:hAnsi="Times New Roman"/>
          <w:sz w:val="24"/>
          <w:szCs w:val="24"/>
          <w:lang w:val="en-US"/>
        </w:rPr>
        <w:t xml:space="preserve"> In</w:t>
      </w:r>
      <w:r>
        <w:rPr>
          <w:rStyle w:val="style87"/>
          <w:rFonts w:ascii="Times New Roman" w:cs="Times New Roman" w:hAnsi="Times New Roman"/>
          <w:b w:val="false"/>
          <w:i/>
          <w:iCs/>
          <w:sz w:val="24"/>
          <w:szCs w:val="24"/>
        </w:rPr>
        <w:t>Tony Anozia v Patricia Okwunwa Nnani,</w:t>
      </w:r>
      <w:r>
        <w:rPr>
          <w:rStyle w:val="style38"/>
          <w:rFonts w:ascii="Times New Roman" w:cs="Times New Roman" w:hAnsi="Times New Roman"/>
          <w:bCs/>
          <w:sz w:val="24"/>
          <w:szCs w:val="24"/>
        </w:rPr>
        <w:footnoteReference w:id="477"/>
      </w:r>
      <w:r>
        <w:rPr>
          <w:rFonts w:ascii="Times New Roman" w:cs="Times New Roman" w:hAnsi="Times New Roman"/>
          <w:sz w:val="24"/>
          <w:szCs w:val="24"/>
        </w:rPr>
        <w:t xml:space="preserve"> the Court of Appeal </w:t>
      </w:r>
      <w:r>
        <w:rPr>
          <w:rFonts w:ascii="Times New Roman" w:cs="Times New Roman" w:hAnsi="Times New Roman"/>
          <w:sz w:val="24"/>
          <w:szCs w:val="24"/>
          <w:lang w:val="en-US"/>
        </w:rPr>
        <w:t>recognized</w:t>
      </w:r>
      <w:r>
        <w:rPr>
          <w:rFonts w:ascii="Times New Roman" w:cs="Times New Roman" w:hAnsi="Times New Roman"/>
          <w:sz w:val="24"/>
          <w:szCs w:val="24"/>
        </w:rPr>
        <w:t xml:space="preserve"> DNA evidence as relevant to paternity but declined to compel unwilling adults to undergo testing, limiting compulsory testing to appropriate cases involving minors in their best interests</w:t>
      </w:r>
      <w:r>
        <w:rPr>
          <w:rFonts w:ascii="Times New Roman" w:cs="Times New Roman" w:hAnsi="Times New Roman"/>
          <w:sz w:val="24"/>
          <w:szCs w:val="24"/>
          <w:lang w:val="en-US"/>
        </w:rPr>
        <w:t>. In</w:t>
      </w:r>
      <w:r>
        <w:rPr>
          <w:rFonts w:ascii="Times New Roman" w:cs="Times New Roman" w:hAnsi="Times New Roman"/>
          <w:i/>
          <w:iCs/>
          <w:sz w:val="24"/>
          <w:szCs w:val="24"/>
          <w:lang w:val="en-US"/>
        </w:rPr>
        <w:t xml:space="preserve">Tony Anozia v Mrs Patricia Okwunwa Nnani &amp; Anor </w:t>
      </w:r>
      <w:r>
        <w:rPr>
          <w:rStyle w:val="style38"/>
          <w:rFonts w:ascii="Times New Roman" w:cs="Times New Roman" w:hAnsi="Times New Roman"/>
          <w:sz w:val="24"/>
          <w:szCs w:val="24"/>
        </w:rPr>
        <w:footnoteReference w:id="478"/>
      </w:r>
      <w:r>
        <w:rPr>
          <w:rFonts w:ascii="Times New Roman" w:cs="Times New Roman" w:hAnsi="Times New Roman"/>
          <w:sz w:val="24"/>
          <w:szCs w:val="24"/>
          <w:lang w:val="en-US"/>
        </w:rPr>
        <w:t xml:space="preserve"> While DNA may establish genetic parentage, it does not determine gestation, consent or intention. Accordingly, as the court recognized, genetic evidence alone does not discharge the burden of proving legal parentage, which must still be established through other admissible evidence.</w:t>
      </w:r>
      <w:r>
        <w:rPr>
          <w:rStyle w:val="style38"/>
          <w:rFonts w:ascii="Times New Roman" w:cs="Times New Roman" w:hAnsi="Times New Roman"/>
          <w:sz w:val="24"/>
          <w:szCs w:val="24"/>
        </w:rPr>
        <w:footnoteReference w:id="479"/>
      </w:r>
      <w:r>
        <w:rPr>
          <w:rFonts w:ascii="Times New Roman" w:cs="Times New Roman" w:hAnsi="Times New Roman"/>
          <w:sz w:val="24"/>
          <w:szCs w:val="24"/>
        </w:rPr>
        <w:t xml:space="preserve"> Surrogacy and ART separate these elements, exposing the limitations of traditional presumptions. Consequently, although</w:t>
      </w:r>
      <w:r>
        <w:rPr>
          <w:rFonts w:ascii="Times New Roman" w:cs="Times New Roman" w:hAnsi="Times New Roman"/>
          <w:i/>
          <w:iCs/>
          <w:sz w:val="24"/>
          <w:szCs w:val="24"/>
        </w:rPr>
        <w:t xml:space="preserve"> section 165</w:t>
      </w:r>
      <w:r>
        <w:rPr>
          <w:rFonts w:ascii="Times New Roman" w:cs="Times New Roman" w:hAnsi="Times New Roman"/>
          <w:sz w:val="24"/>
          <w:szCs w:val="24"/>
        </w:rPr>
        <w:t xml:space="preserve"> remains an important starting point where marriage is involved, it cannot by itself determine legal parentage in surrogacy and should be applied alongside child-rights and health-law considerations to achieve just outcomes.</w:t>
      </w:r>
    </w:p>
    <w:p w14:paraId="1871CBEF">
      <w:pPr>
        <w:pStyle w:val="style4"/>
        <w:rPr/>
      </w:pPr>
      <w:r>
        <w:t xml:space="preserve">3.1.1.6 </w:t>
      </w:r>
      <w:r>
        <w:tab/>
      </w:r>
      <w:r>
        <w:t>National Health Act 2014</w:t>
      </w:r>
    </w:p>
    <w:p w14:paraId="1CE71014">
      <w:pPr>
        <w:pStyle w:val="style0"/>
        <w:spacing w:lineRule="auto" w:line="480"/>
        <w:jc w:val="both"/>
        <w:rPr>
          <w:rFonts w:ascii="Times New Roman" w:cs="Times New Roman" w:hAnsi="Times New Roman"/>
          <w:sz w:val="24"/>
          <w:szCs w:val="24"/>
        </w:rPr>
      </w:pPr>
      <w:r>
        <w:rPr>
          <w:rFonts w:ascii="Times New Roman" w:cs="Times New Roman" w:hAnsi="Times New Roman"/>
          <w:i/>
          <w:iCs/>
          <w:sz w:val="24"/>
          <w:szCs w:val="24"/>
        </w:rPr>
        <w:t xml:space="preserve">The National Health Act </w:t>
      </w:r>
      <w:r>
        <w:rPr>
          <w:rFonts w:ascii="Times New Roman" w:cs="Times New Roman" w:hAnsi="Times New Roman"/>
          <w:sz w:val="24"/>
          <w:szCs w:val="24"/>
        </w:rPr>
        <w:t>does not establish a regulatory framework for surrogacy or ART. Nevertheless, it remains relevant because surrogacy and ART are delivered through healthcare institutions. The Act sets forth the structure for overseeing, advancing, and administering Nigeria's national health system while outlining criteria for health services and the rights of users.</w:t>
      </w:r>
      <w:r>
        <w:rPr>
          <w:rStyle w:val="style38"/>
          <w:rFonts w:ascii="Times New Roman" w:cs="Times New Roman" w:hAnsi="Times New Roman"/>
          <w:sz w:val="24"/>
          <w:szCs w:val="24"/>
        </w:rPr>
        <w:footnoteReference w:id="480"/>
      </w:r>
      <w:r>
        <w:rPr>
          <w:rFonts w:ascii="Times New Roman" w:cs="Times New Roman" w:hAnsi="Times New Roman"/>
          <w:sz w:val="24"/>
          <w:szCs w:val="24"/>
        </w:rPr>
        <w:t xml:space="preserve"> This includes standards which relate to health services and users’ rights. </w:t>
      </w:r>
      <w:r>
        <w:rPr>
          <w:rFonts w:ascii="Times New Roman" w:cs="Times New Roman" w:hAnsi="Times New Roman"/>
          <w:i/>
          <w:iCs/>
          <w:sz w:val="24"/>
          <w:szCs w:val="24"/>
        </w:rPr>
        <w:t xml:space="preserve">Section 2 of the </w:t>
      </w:r>
      <w:r>
        <w:rPr>
          <w:rFonts w:ascii="Times New Roman" w:cs="Times New Roman" w:hAnsi="Times New Roman"/>
          <w:i/>
          <w:iCs/>
          <w:sz w:val="24"/>
          <w:szCs w:val="24"/>
          <w:lang w:val="en-US"/>
        </w:rPr>
        <w:t>A</w:t>
      </w:r>
      <w:r>
        <w:rPr>
          <w:rFonts w:ascii="Times New Roman" w:cs="Times New Roman" w:hAnsi="Times New Roman"/>
          <w:i/>
          <w:iCs/>
          <w:sz w:val="24"/>
          <w:szCs w:val="24"/>
        </w:rPr>
        <w:t xml:space="preserve">ct </w:t>
      </w:r>
      <w:r>
        <w:rPr>
          <w:rFonts w:ascii="Times New Roman" w:cs="Times New Roman" w:hAnsi="Times New Roman"/>
          <w:sz w:val="24"/>
          <w:szCs w:val="24"/>
        </w:rPr>
        <w:t>stipulates the functions of the Federal Ministry of health.Since fertility clinics facilitate and document the reproductive process, the Act indirectly governs aspects of ART practice.</w:t>
      </w:r>
    </w:p>
    <w:p w14:paraId="19ADB19B">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 xml:space="preserve">However, the Act does not regulate gamete donation, embryo ownership, donor disclosure, surrogacy consent, post-birth transfer of parentage, or clinics' obligations to verify intended-parent arrangements. Consequently, it cannot resolve disputes concerning legal parentage arising from ART and surrogacy, leaving significant risks of exploitation and uncertainty. A </w:t>
      </w:r>
      <w:r>
        <w:rPr>
          <w:rFonts w:ascii="Times New Roman" w:cs="Times New Roman" w:hAnsi="Times New Roman"/>
          <w:i/>
          <w:iCs/>
          <w:sz w:val="24"/>
          <w:szCs w:val="24"/>
        </w:rPr>
        <w:t>National Health Amendment Bill</w:t>
      </w:r>
      <w:r>
        <w:rPr>
          <w:rFonts w:ascii="Times New Roman" w:cs="Times New Roman" w:hAnsi="Times New Roman"/>
          <w:sz w:val="24"/>
          <w:szCs w:val="24"/>
        </w:rPr>
        <w:t xml:space="preserve"> proposing the regulation of ART has been introduced, and its enactment would represent an important step towards addressing these gaps</w:t>
      </w:r>
      <w:r>
        <w:rPr>
          <w:rFonts w:ascii="Times New Roman" w:cs="Times New Roman" w:hAnsi="Times New Roman"/>
          <w:sz w:val="24"/>
          <w:szCs w:val="24"/>
          <w:lang w:val="en-US"/>
        </w:rPr>
        <w:t>.</w:t>
      </w:r>
      <w:r>
        <w:rPr>
          <w:rStyle w:val="style38"/>
          <w:rFonts w:ascii="Times New Roman" w:cs="Times New Roman" w:hAnsi="Times New Roman"/>
          <w:sz w:val="24"/>
          <w:szCs w:val="24"/>
          <w:lang w:val="en-US"/>
        </w:rPr>
        <w:footnoteReference w:id="481"/>
      </w:r>
    </w:p>
    <w:p w14:paraId="5415812A">
      <w:pPr>
        <w:pStyle w:val="style4"/>
        <w:rPr/>
      </w:pPr>
      <w:r>
        <w:t xml:space="preserve">3.1.1.7 </w:t>
      </w:r>
      <w:r>
        <w:tab/>
      </w:r>
      <w:r>
        <w:t>Births, Deaths, etc. (Compulsory Registration) Act</w:t>
      </w:r>
    </w:p>
    <w:p w14:paraId="35233DA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Births, Deaths, etc. (Compulsory Registration) Act is significant in the surrogacy context because birth registration is the first legal recognition of a child's identity and parentage. The Act establishes Nigeria's compulsory birth registration system and assigns responsibility for registration to designated persons and institutions.</w:t>
      </w:r>
      <w:r>
        <w:rPr>
          <w:rStyle w:val="style38"/>
          <w:rFonts w:ascii="Times New Roman" w:cs="Times New Roman" w:hAnsi="Times New Roman"/>
          <w:sz w:val="24"/>
          <w:szCs w:val="24"/>
        </w:rPr>
        <w:footnoteReference w:id="482"/>
      </w:r>
      <w:r>
        <w:rPr>
          <w:rFonts w:ascii="Times New Roman" w:cs="Times New Roman" w:hAnsi="Times New Roman"/>
          <w:sz w:val="24"/>
          <w:szCs w:val="24"/>
        </w:rPr>
        <w:t>However, it assumes conventional parentage and provides no mechanism for registering children born through surrogacy. Consequently, where the birth mother differs from the intended legal mother, uncertainty may arise as to whose details should appear on the birth register, with implications for nationality, identity, education, travel, maintenance and inheritance.</w:t>
      </w:r>
    </w:p>
    <w:p w14:paraId="674AF46E">
      <w:pPr>
        <w:pStyle w:val="style4"/>
        <w:rPr/>
      </w:pPr>
      <w:r>
        <w:t xml:space="preserve">3.1.1.8 </w:t>
      </w:r>
      <w:r>
        <w:tab/>
      </w:r>
      <w:r>
        <w:t>National Identity Management Commission (NIMC) Act</w:t>
      </w:r>
    </w:p>
    <w:p w14:paraId="1719B6F2">
      <w:pPr>
        <w:pStyle w:val="style0"/>
        <w:spacing w:lineRule="auto" w:line="480"/>
        <w:jc w:val="both"/>
        <w:rPr>
          <w:rFonts w:ascii="Times New Roman" w:cs="Times New Roman" w:hAnsi="Times New Roman"/>
          <w:sz w:val="24"/>
          <w:szCs w:val="24"/>
        </w:rPr>
      </w:pPr>
      <w:r>
        <w:rPr>
          <w:rFonts w:ascii="Times New Roman" w:cs="Times New Roman" w:hAnsi="Times New Roman"/>
          <w:i/>
          <w:iCs/>
          <w:sz w:val="24"/>
          <w:szCs w:val="24"/>
        </w:rPr>
        <w:t>NIMC Act</w:t>
      </w:r>
      <w:r>
        <w:rPr>
          <w:rFonts w:ascii="Times New Roman" w:cs="Times New Roman" w:hAnsi="Times New Roman"/>
          <w:sz w:val="24"/>
          <w:szCs w:val="24"/>
        </w:rPr>
        <w:t xml:space="preserve"> establishes and manages the database for national identity and registration. Once a child’s birth particulars feed into identity systems, the assumptions about parentage may harden administratively. If the wrong parent is recorded at the registration stage, it may become difficult to correct later on. It may also have legal consequences.</w:t>
      </w:r>
      <w:r>
        <w:rPr>
          <w:rStyle w:val="style38"/>
          <w:rFonts w:ascii="Times New Roman" w:cs="Times New Roman" w:hAnsi="Times New Roman"/>
          <w:sz w:val="24"/>
          <w:szCs w:val="24"/>
        </w:rPr>
        <w:footnoteReference w:id="483"/>
      </w:r>
      <w:r>
        <w:rPr>
          <w:rFonts w:ascii="Times New Roman" w:cs="Times New Roman" w:hAnsi="Times New Roman"/>
          <w:sz w:val="24"/>
          <w:szCs w:val="24"/>
        </w:rPr>
        <w:t xml:space="preserve"> The </w:t>
      </w:r>
      <w:r>
        <w:rPr>
          <w:rFonts w:ascii="Times New Roman" w:cs="Times New Roman" w:hAnsi="Times New Roman"/>
          <w:sz w:val="24"/>
          <w:szCs w:val="24"/>
          <w:lang w:val="en-US"/>
        </w:rPr>
        <w:t>A</w:t>
      </w:r>
      <w:r>
        <w:rPr>
          <w:rFonts w:ascii="Times New Roman" w:cs="Times New Roman" w:hAnsi="Times New Roman"/>
          <w:sz w:val="24"/>
          <w:szCs w:val="24"/>
        </w:rPr>
        <w:t xml:space="preserve">ct does not allocate parentage. However, it </w:t>
      </w:r>
      <w:r>
        <w:rPr>
          <w:rFonts w:ascii="Times New Roman" w:cs="Times New Roman" w:hAnsi="Times New Roman"/>
          <w:sz w:val="24"/>
          <w:szCs w:val="24"/>
          <w:lang w:val="en-US"/>
        </w:rPr>
        <w:t>institutionalizes</w:t>
      </w:r>
      <w:r>
        <w:rPr>
          <w:rFonts w:ascii="Times New Roman" w:cs="Times New Roman" w:hAnsi="Times New Roman"/>
          <w:sz w:val="24"/>
          <w:szCs w:val="24"/>
        </w:rPr>
        <w:t xml:space="preserve"> whatever parentage which the system assumes. More so, the </w:t>
      </w:r>
      <w:r>
        <w:rPr>
          <w:rFonts w:ascii="Times New Roman" w:cs="Times New Roman" w:hAnsi="Times New Roman"/>
          <w:sz w:val="24"/>
          <w:szCs w:val="24"/>
          <w:lang w:val="en-US"/>
        </w:rPr>
        <w:t>A</w:t>
      </w:r>
      <w:r>
        <w:rPr>
          <w:rFonts w:ascii="Times New Roman" w:cs="Times New Roman" w:hAnsi="Times New Roman"/>
          <w:sz w:val="24"/>
          <w:szCs w:val="24"/>
        </w:rPr>
        <w:t>ct does not provide a dedicated route for resolving parentage in ART before enrolment of identity.</w:t>
      </w:r>
      <w:r>
        <w:rPr>
          <w:rStyle w:val="style38"/>
          <w:rFonts w:ascii="Times New Roman" w:cs="Times New Roman" w:hAnsi="Times New Roman"/>
          <w:sz w:val="24"/>
          <w:szCs w:val="24"/>
        </w:rPr>
        <w:footnoteReference w:id="484"/>
      </w:r>
    </w:p>
    <w:p w14:paraId="3528221B">
      <w:pPr>
        <w:pStyle w:val="style4"/>
        <w:rPr/>
      </w:pPr>
      <w:r>
        <w:t xml:space="preserve">3.1.1.9 </w:t>
      </w:r>
      <w:r>
        <w:tab/>
      </w:r>
      <w:r>
        <w:t>Administration of Estates Laws of Various States</w:t>
      </w:r>
    </w:p>
    <w:p w14:paraId="24A7238A">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Administration of Estates Laws become relevant once legal parentage affects succession. A child born through ART or surrogacy may be excluded from inheriting where his or her status as the deceased's child is disputed. Once parentage is legally established, however, discrimination in inheritance is unconstitutional.</w:t>
      </w:r>
      <w:r>
        <w:rPr>
          <w:rStyle w:val="style38"/>
          <w:rFonts w:ascii="Times New Roman" w:cs="Times New Roman" w:hAnsi="Times New Roman"/>
          <w:sz w:val="24"/>
          <w:szCs w:val="24"/>
        </w:rPr>
        <w:footnoteReference w:id="485"/>
      </w:r>
      <w:r>
        <w:rPr>
          <w:rFonts w:ascii="Times New Roman" w:cs="Times New Roman" w:hAnsi="Times New Roman"/>
          <w:sz w:val="24"/>
          <w:szCs w:val="24"/>
        </w:rPr>
        <w:t>These laws regulate the administration and distribution of estates rather than the creation of legal parentage. Consequently, courts may be required to determine parentage incidentally in succession proceedings, although the legislation was not designed for surrogacy or posthumous conception.</w:t>
      </w:r>
      <w:r>
        <w:rPr>
          <w:rStyle w:val="style38"/>
          <w:rFonts w:ascii="Times New Roman" w:cs="Times New Roman" w:hAnsi="Times New Roman"/>
          <w:sz w:val="24"/>
          <w:szCs w:val="24"/>
        </w:rPr>
        <w:footnoteReference w:id="486"/>
      </w:r>
    </w:p>
    <w:p w14:paraId="2D10407B">
      <w:pPr>
        <w:pStyle w:val="style4"/>
        <w:rPr/>
      </w:pPr>
      <w:r>
        <w:t xml:space="preserve">3.1.1.10 </w:t>
      </w:r>
      <w:r>
        <w:tab/>
      </w:r>
      <w:r>
        <w:t>Wills Laws of Various States</w:t>
      </w:r>
    </w:p>
    <w:p w14:paraId="6112216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Wills Laws may reduce uncertainty by allowing a testator to expressly include a child born through ART or surrogacy. However, testamentary freedom is only a partial solution because many persons die intestate, ambiguous provisions may still generate litigation, and a will cannot determine legal parentage for all purposes, including birth registration or nationality.</w:t>
      </w:r>
      <w:r>
        <w:rPr>
          <w:rStyle w:val="style38"/>
          <w:rFonts w:ascii="Times New Roman" w:cs="Times New Roman" w:hAnsi="Times New Roman"/>
          <w:sz w:val="24"/>
          <w:szCs w:val="24"/>
        </w:rPr>
        <w:footnoteReference w:id="487"/>
      </w:r>
      <w:r>
        <w:rPr>
          <w:rFonts w:ascii="Times New Roman" w:cs="Times New Roman" w:hAnsi="Times New Roman"/>
          <w:sz w:val="24"/>
          <w:szCs w:val="24"/>
        </w:rPr>
        <w:t>Although a will may provide evidence of intention, acknowledgment and inclusion, particularly in donor-conception or surrogacy arrangements, it is not a substitute for a comprehensive statutory framework on legal parentage.</w:t>
      </w:r>
      <w:r>
        <w:rPr>
          <w:rStyle w:val="style38"/>
          <w:rFonts w:ascii="Times New Roman" w:cs="Times New Roman" w:hAnsi="Times New Roman"/>
          <w:sz w:val="24"/>
          <w:szCs w:val="24"/>
        </w:rPr>
        <w:footnoteReference w:id="488"/>
      </w:r>
    </w:p>
    <w:p w14:paraId="59600F80">
      <w:pPr>
        <w:pStyle w:val="style4"/>
        <w:rPr/>
      </w:pPr>
      <w:r>
        <w:t>3.1.1.1</w:t>
      </w:r>
      <w:r>
        <w:rPr>
          <w:lang w:val="en-US"/>
        </w:rPr>
        <w:t xml:space="preserve">1 </w:t>
      </w:r>
      <w:r>
        <w:t>Trafficking in Persons (Prohibition) Enforcement and Administration Act 2015 (as amended)</w:t>
      </w:r>
      <w:r>
        <w:rPr>
          <w:lang w:val="en-US"/>
        </w:rPr>
        <w:t xml:space="preserve"> and Violence Against Persons (Prohibition) (VAPP) Act</w:t>
      </w:r>
    </w:p>
    <w:p w14:paraId="2B452CE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Although Nigeria does not comprehensively regulate surrogacy, exploitation arising from surrogacy arrangements may fall within the </w:t>
      </w:r>
      <w:r>
        <w:rPr>
          <w:rFonts w:ascii="Times New Roman" w:cs="Times New Roman" w:hAnsi="Times New Roman"/>
          <w:i/>
          <w:iCs/>
          <w:sz w:val="24"/>
          <w:szCs w:val="24"/>
        </w:rPr>
        <w:t>Trafficking in Persons (Prohibition) Enforcement and Administration Act 2015 (as amended)</w:t>
      </w:r>
      <w:r>
        <w:rPr>
          <w:rFonts w:ascii="Times New Roman" w:cs="Times New Roman" w:hAnsi="Times New Roman"/>
          <w:sz w:val="24"/>
          <w:szCs w:val="24"/>
        </w:rPr>
        <w:t xml:space="preserve">, particularly where women or children are recruited, transported or exploited through coercion, deception or abuse of vulnerability for financial gain. Similarly, the </w:t>
      </w:r>
      <w:r>
        <w:rPr>
          <w:rFonts w:ascii="Times New Roman" w:cs="Times New Roman" w:hAnsi="Times New Roman"/>
          <w:i/>
          <w:iCs/>
          <w:sz w:val="24"/>
          <w:szCs w:val="24"/>
        </w:rPr>
        <w:t>VAPP Act 2015</w:t>
      </w:r>
      <w:r>
        <w:rPr>
          <w:rFonts w:ascii="Times New Roman" w:cs="Times New Roman" w:hAnsi="Times New Roman"/>
          <w:sz w:val="24"/>
          <w:szCs w:val="24"/>
        </w:rPr>
        <w:t xml:space="preserve"> protects surrogate mothers against coercion, intimidation, psychological abuse</w:t>
      </w:r>
    </w:p>
    <w:bookmarkStart w:id="69" w:name="_Toc233678274"/>
    <w:p w14:paraId="4E0D39F3">
      <w:pPr>
        <w:pStyle w:val="style3"/>
        <w:rPr/>
      </w:pPr>
      <w:r>
        <w:t xml:space="preserve">3.1.2 </w:t>
      </w:r>
      <w:r>
        <w:tab/>
      </w:r>
      <w:r>
        <w:t>Core International Legislation on Parentage in Surrogacy and ART in Nigeria</w:t>
      </w:r>
      <w:bookmarkEnd w:id="69"/>
    </w:p>
    <w:p w14:paraId="1A92310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This section discusses the International Legislation on Parentage in Surrogacy and ART in Nigeria </w:t>
      </w:r>
    </w:p>
    <w:p w14:paraId="46A68832">
      <w:pPr>
        <w:pStyle w:val="style4"/>
        <w:rPr/>
      </w:pPr>
      <w:r>
        <w:t xml:space="preserve">3.1.2.1 </w:t>
      </w:r>
      <w:r>
        <w:tab/>
      </w:r>
      <w:r>
        <w:t>Convention on the Rights of the Child 1989</w:t>
      </w:r>
    </w:p>
    <w:p w14:paraId="34F982E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CRC is foundational to disputes concerning parentage arising from ART and surrogacy. It stipulates that the child's best interests must be the foremost concern, ensures prompt registration of birth, provision of a name and nationality, and, to the extent feasible, the child's entitlement to know and receive care from their parents.</w:t>
      </w:r>
      <w:r>
        <w:rPr>
          <w:rStyle w:val="style38"/>
          <w:rFonts w:ascii="Times New Roman" w:cs="Times New Roman" w:hAnsi="Times New Roman"/>
          <w:sz w:val="24"/>
          <w:szCs w:val="24"/>
        </w:rPr>
        <w:footnoteReference w:id="489"/>
      </w:r>
      <w:r>
        <w:rPr>
          <w:rFonts w:ascii="Times New Roman" w:cs="Times New Roman" w:hAnsi="Times New Roman"/>
          <w:sz w:val="24"/>
          <w:szCs w:val="24"/>
        </w:rPr>
        <w:t>These rights recognise identity and parental care as legal entitlements rather than private arrangements. However, the CRC does not determine whether legal parentage should follow genetic, gestational or intended parenthood, leaving that question to domestic law.</w:t>
      </w:r>
      <w:r>
        <w:rPr>
          <w:rStyle w:val="style38"/>
          <w:rFonts w:ascii="Times New Roman" w:cs="Times New Roman" w:hAnsi="Times New Roman"/>
          <w:sz w:val="24"/>
          <w:szCs w:val="24"/>
        </w:rPr>
        <w:footnoteReference w:id="490"/>
      </w:r>
    </w:p>
    <w:p w14:paraId="28110296">
      <w:pPr>
        <w:pStyle w:val="style4"/>
        <w:rPr/>
      </w:pPr>
      <w:r>
        <w:t xml:space="preserve">3.1.2.2 </w:t>
      </w:r>
      <w:r>
        <w:tab/>
      </w:r>
      <w:r>
        <w:t>African Charter on the Rights and Welfare of the Child (ACRWC) 1990</w:t>
      </w:r>
    </w:p>
    <w:p w14:paraId="294D9EB8">
      <w:pPr>
        <w:pStyle w:val="style0"/>
        <w:spacing w:lineRule="auto" w:line="480"/>
        <w:jc w:val="both"/>
        <w:rPr>
          <w:rFonts w:ascii="Times New Roman" w:cs="Times New Roman" w:hAnsi="Times New Roman"/>
          <w:sz w:val="24"/>
          <w:szCs w:val="24"/>
        </w:rPr>
      </w:pPr>
      <w:r>
        <w:rPr>
          <w:rFonts w:ascii="Times New Roman" w:cs="Times New Roman" w:hAnsi="Times New Roman"/>
          <w:i/>
          <w:sz w:val="24"/>
          <w:szCs w:val="24"/>
        </w:rPr>
        <w:t>The</w:t>
      </w:r>
      <w:r>
        <w:rPr>
          <w:rFonts w:ascii="Times New Roman" w:cs="Times New Roman" w:hAnsi="Times New Roman"/>
          <w:sz w:val="24"/>
          <w:szCs w:val="24"/>
        </w:rPr>
        <w:t xml:space="preserve"> </w:t>
      </w:r>
      <w:r>
        <w:rPr>
          <w:rFonts w:ascii="Times New Roman" w:cs="Times New Roman" w:hAnsi="Times New Roman"/>
          <w:i/>
          <w:sz w:val="24"/>
          <w:szCs w:val="24"/>
        </w:rPr>
        <w:t xml:space="preserve">ACRWC </w:t>
      </w:r>
      <w:r>
        <w:rPr>
          <w:rFonts w:ascii="Times New Roman" w:cs="Times New Roman" w:hAnsi="Times New Roman"/>
          <w:sz w:val="24"/>
          <w:szCs w:val="24"/>
        </w:rPr>
        <w:t>reinforces these principles within the African context by guaranteeing non-discrimination, the best interests of the child, immediate birth registration, nationality, privacy and parental responsibility, while discouraging customs and traditions inconsistent with children's rights.</w:t>
      </w:r>
      <w:r>
        <w:rPr>
          <w:rStyle w:val="style38"/>
          <w:rFonts w:ascii="Times New Roman" w:cs="Times New Roman" w:hAnsi="Times New Roman"/>
          <w:sz w:val="24"/>
          <w:szCs w:val="24"/>
        </w:rPr>
        <w:footnoteReference w:id="491"/>
      </w:r>
      <w:r>
        <w:rPr>
          <w:rFonts w:ascii="Times New Roman" w:cs="Times New Roman" w:hAnsi="Times New Roman"/>
          <w:sz w:val="24"/>
          <w:szCs w:val="24"/>
        </w:rPr>
        <w:t xml:space="preserve"> This holds significant importance in Nigeria, where societal views might influence how children conceived via ART and surrogacy are treated. While the Charter does not set forth specific regulations for establishing legal parentage, it offers a robust interpretive structure aimed at safeguarding children's identity, equality, and legal standing.</w:t>
      </w:r>
    </w:p>
    <w:p w14:paraId="22817DFD">
      <w:pPr>
        <w:pStyle w:val="style4"/>
        <w:rPr/>
      </w:pPr>
      <w:r>
        <w:t xml:space="preserve">3.1.2.3 </w:t>
      </w:r>
      <w:r>
        <w:tab/>
      </w:r>
      <w:r>
        <w:t>African Charter on Human and Peoples’ Rights (ACHPR) 1981</w:t>
      </w:r>
    </w:p>
    <w:p w14:paraId="451542E8">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ACHPR contributes broader human-rights guarantees and these are relevant to family and child status. It safeguards equal treatment under the law. It additionally prohibits discrimination and safeguards dignity. Furthermore, it acknowledges the family as a collective that warrants safeguarding. Article 18 ensures that the family receives state support and mandates the removal of discrimination towards women while safeguarding children's rights. This instrument works at the level of principle. It support equality, dignity, and family protection.  However, it does not settle legal motherhood or fatherhood in ART. </w:t>
      </w:r>
    </w:p>
    <w:p w14:paraId="418BAC5E">
      <w:pPr>
        <w:pStyle w:val="style4"/>
        <w:rPr/>
      </w:pPr>
      <w:r>
        <w:t xml:space="preserve">3.1.2.4 </w:t>
      </w:r>
      <w:r>
        <w:tab/>
      </w:r>
      <w:r>
        <w:t>Universal Declaration of Human Rights 1948</w:t>
      </w:r>
    </w:p>
    <w:p w14:paraId="736A65A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Although not a domesticated surrogacy instrument, the UDHR provides an important normative framework. It </w:t>
      </w:r>
      <w:r>
        <w:rPr>
          <w:rFonts w:ascii="Times New Roman" w:cs="Times New Roman" w:hAnsi="Times New Roman"/>
          <w:sz w:val="24"/>
          <w:szCs w:val="24"/>
          <w:lang w:val="en-US"/>
        </w:rPr>
        <w:t>recognizes</w:t>
      </w:r>
      <w:r>
        <w:rPr>
          <w:rFonts w:ascii="Times New Roman" w:cs="Times New Roman" w:hAnsi="Times New Roman"/>
          <w:sz w:val="24"/>
          <w:szCs w:val="24"/>
        </w:rPr>
        <w:t xml:space="preserve"> the family as the natural and fundamental unit of society, guarantees the right to a nationality, and accords special protection to mothers and children.</w:t>
      </w:r>
      <w:r>
        <w:rPr>
          <w:rStyle w:val="style38"/>
          <w:rFonts w:ascii="Times New Roman" w:cs="Times New Roman" w:hAnsi="Times New Roman"/>
          <w:sz w:val="24"/>
          <w:szCs w:val="24"/>
        </w:rPr>
        <w:footnoteReference w:id="492"/>
      </w:r>
      <w:r>
        <w:rPr>
          <w:rFonts w:ascii="Times New Roman" w:cs="Times New Roman" w:hAnsi="Times New Roman"/>
          <w:sz w:val="24"/>
          <w:szCs w:val="24"/>
        </w:rPr>
        <w:t xml:space="preserve"> These principles advocate for the safeguarding of children conceived via ART and surrogacy; however, they do not establish legal parentage, which is governed by domestic law.</w:t>
      </w:r>
    </w:p>
    <w:p w14:paraId="72EF1950">
      <w:pPr>
        <w:pStyle w:val="style4"/>
        <w:rPr/>
      </w:pPr>
      <w:r>
        <w:t xml:space="preserve">3.1.2.5 </w:t>
      </w:r>
      <w:r>
        <w:tab/>
      </w:r>
      <w:r>
        <w:t>International Covenant on Civil and Political Rights 1966</w:t>
      </w:r>
    </w:p>
    <w:p w14:paraId="4FE5A89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w:t>
      </w:r>
      <w:r>
        <w:rPr>
          <w:rFonts w:ascii="Times New Roman" w:cs="Times New Roman" w:hAnsi="Times New Roman"/>
          <w:i/>
          <w:iCs/>
          <w:sz w:val="24"/>
          <w:szCs w:val="24"/>
        </w:rPr>
        <w:t xml:space="preserve">ICCPR </w:t>
      </w:r>
      <w:r>
        <w:rPr>
          <w:rFonts w:ascii="Times New Roman" w:cs="Times New Roman" w:hAnsi="Times New Roman"/>
          <w:sz w:val="24"/>
          <w:szCs w:val="24"/>
        </w:rPr>
        <w:t xml:space="preserve">is relevant on three fronts. </w:t>
      </w:r>
      <w:r>
        <w:rPr>
          <w:rFonts w:ascii="Times New Roman" w:cs="Times New Roman" w:hAnsi="Times New Roman"/>
          <w:i/>
          <w:iCs/>
          <w:sz w:val="24"/>
          <w:szCs w:val="24"/>
        </w:rPr>
        <w:t xml:space="preserve">Article 17 </w:t>
      </w:r>
      <w:r>
        <w:rPr>
          <w:rFonts w:ascii="Times New Roman" w:cs="Times New Roman" w:hAnsi="Times New Roman"/>
          <w:sz w:val="24"/>
          <w:szCs w:val="24"/>
        </w:rPr>
        <w:t xml:space="preserve">protects privacy and family against arbitrary interference. </w:t>
      </w:r>
      <w:r>
        <w:rPr>
          <w:rFonts w:ascii="Times New Roman" w:cs="Times New Roman" w:hAnsi="Times New Roman"/>
          <w:i/>
          <w:iCs/>
          <w:sz w:val="24"/>
          <w:szCs w:val="24"/>
        </w:rPr>
        <w:t xml:space="preserve">Article 23 </w:t>
      </w:r>
      <w:r>
        <w:rPr>
          <w:rFonts w:ascii="Times New Roman" w:cs="Times New Roman" w:hAnsi="Times New Roman"/>
          <w:i/>
          <w:iCs/>
          <w:sz w:val="24"/>
          <w:szCs w:val="24"/>
          <w:lang w:val="en-US"/>
        </w:rPr>
        <w:t>recognizes</w:t>
      </w:r>
      <w:r>
        <w:rPr>
          <w:rFonts w:ascii="Times New Roman" w:cs="Times New Roman" w:hAnsi="Times New Roman"/>
          <w:sz w:val="24"/>
          <w:szCs w:val="24"/>
        </w:rPr>
        <w:t xml:space="preserve"> the family as the natural and fundamental group unit of society entitled to state protection. </w:t>
      </w:r>
      <w:r>
        <w:rPr>
          <w:rFonts w:ascii="Times New Roman" w:cs="Times New Roman" w:hAnsi="Times New Roman"/>
          <w:i/>
          <w:iCs/>
          <w:sz w:val="24"/>
          <w:szCs w:val="24"/>
        </w:rPr>
        <w:t>Article 24</w:t>
      </w:r>
      <w:r>
        <w:rPr>
          <w:rFonts w:ascii="Times New Roman" w:cs="Times New Roman" w:hAnsi="Times New Roman"/>
          <w:sz w:val="24"/>
          <w:szCs w:val="24"/>
        </w:rPr>
        <w:t xml:space="preserve"> guarantees to every child, without discrimination including on the basis of birth, measures of protection, immediate registration after birth, a name, and nationality. For surrogacy disputes, the</w:t>
      </w:r>
      <w:r>
        <w:rPr>
          <w:rFonts w:ascii="Times New Roman" w:cs="Times New Roman" w:hAnsi="Times New Roman"/>
          <w:i/>
          <w:iCs/>
          <w:sz w:val="24"/>
          <w:szCs w:val="24"/>
        </w:rPr>
        <w:t xml:space="preserve"> ICCPR</w:t>
      </w:r>
      <w:r>
        <w:rPr>
          <w:rFonts w:ascii="Times New Roman" w:cs="Times New Roman" w:hAnsi="Times New Roman"/>
          <w:sz w:val="24"/>
          <w:szCs w:val="24"/>
        </w:rPr>
        <w:t xml:space="preserve"> is useful because it joins privacy with child registration and family protection. This matters where disclosure and donor anonymity intersect. </w:t>
      </w:r>
    </w:p>
    <w:p w14:paraId="579DA56C">
      <w:pPr>
        <w:pStyle w:val="style4"/>
        <w:rPr/>
      </w:pPr>
      <w:r>
        <w:t xml:space="preserve">3.1.2.6 </w:t>
      </w:r>
      <w:r>
        <w:tab/>
      </w:r>
      <w:r>
        <w:t>International Covenant on Economic, Social and Cultural Rights 1966</w:t>
      </w:r>
    </w:p>
    <w:p w14:paraId="4D3B617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ICESCR contributes the health and family dimensions. </w:t>
      </w:r>
      <w:r>
        <w:rPr>
          <w:rFonts w:ascii="Times New Roman" w:cs="Times New Roman" w:hAnsi="Times New Roman"/>
          <w:i/>
          <w:iCs/>
          <w:sz w:val="24"/>
          <w:szCs w:val="24"/>
        </w:rPr>
        <w:t>Article 10</w:t>
      </w:r>
      <w:r>
        <w:rPr>
          <w:rFonts w:ascii="Times New Roman" w:cs="Times New Roman" w:hAnsi="Times New Roman"/>
          <w:sz w:val="24"/>
          <w:szCs w:val="24"/>
        </w:rPr>
        <w:t xml:space="preserve"> demands the broadest possible support and aid for families, along with particular safeguards for mothers during and following childbirth. </w:t>
      </w:r>
      <w:r>
        <w:rPr>
          <w:rFonts w:ascii="Times New Roman" w:cs="Times New Roman" w:hAnsi="Times New Roman"/>
          <w:i/>
          <w:iCs/>
          <w:sz w:val="24"/>
          <w:szCs w:val="24"/>
        </w:rPr>
        <w:t xml:space="preserve">Article 12 </w:t>
      </w:r>
      <w:r>
        <w:rPr>
          <w:rFonts w:ascii="Times New Roman" w:cs="Times New Roman" w:hAnsi="Times New Roman"/>
          <w:sz w:val="24"/>
          <w:szCs w:val="24"/>
          <w:lang w:val="en-US"/>
        </w:rPr>
        <w:t>acknowledges the entitlement to the best possible level of physical and mental well-being and encompasses healthy childhood growth among the actions that nations ought to undertake</w:t>
      </w:r>
      <w:r>
        <w:rPr>
          <w:rFonts w:ascii="Times New Roman" w:cs="Times New Roman" w:hAnsi="Times New Roman"/>
          <w:sz w:val="24"/>
          <w:szCs w:val="24"/>
        </w:rPr>
        <w:t xml:space="preserve">. For ART and surrogacy, these provisions are relevant for regulating clinics as well as maternal care for surrogates surrounding fertility treatment and childbirth. The </w:t>
      </w:r>
      <w:r>
        <w:rPr>
          <w:rFonts w:ascii="Times New Roman" w:cs="Times New Roman" w:hAnsi="Times New Roman"/>
          <w:i/>
          <w:iCs/>
          <w:sz w:val="24"/>
          <w:szCs w:val="24"/>
        </w:rPr>
        <w:t xml:space="preserve">ICESCR </w:t>
      </w:r>
      <w:r>
        <w:rPr>
          <w:rFonts w:ascii="Times New Roman" w:cs="Times New Roman" w:hAnsi="Times New Roman"/>
          <w:sz w:val="24"/>
          <w:szCs w:val="24"/>
        </w:rPr>
        <w:t xml:space="preserve">is even less specific than the </w:t>
      </w:r>
      <w:r>
        <w:rPr>
          <w:rFonts w:ascii="Times New Roman" w:cs="Times New Roman" w:hAnsi="Times New Roman"/>
          <w:i/>
          <w:iCs/>
          <w:sz w:val="24"/>
          <w:szCs w:val="24"/>
        </w:rPr>
        <w:t>CRC</w:t>
      </w:r>
      <w:r>
        <w:rPr>
          <w:rFonts w:ascii="Times New Roman" w:cs="Times New Roman" w:hAnsi="Times New Roman"/>
          <w:sz w:val="24"/>
          <w:szCs w:val="24"/>
        </w:rPr>
        <w:t xml:space="preserve"> on parentage. Its role is supportive, not determinative. </w:t>
      </w:r>
    </w:p>
    <w:p w14:paraId="6DD4D650">
      <w:pPr>
        <w:pStyle w:val="style0"/>
        <w:spacing w:lineRule="auto" w:line="480"/>
        <w:jc w:val="both"/>
        <w:rPr>
          <w:rFonts w:ascii="Times New Roman" w:cs="Times New Roman" w:hAnsi="Times New Roman"/>
          <w:sz w:val="24"/>
          <w:szCs w:val="24"/>
        </w:rPr>
      </w:pPr>
    </w:p>
    <w:bookmarkStart w:id="70" w:name="_Toc233678275"/>
    <w:p w14:paraId="6EDD55A1">
      <w:pPr>
        <w:pStyle w:val="style3"/>
        <w:rPr/>
      </w:pPr>
      <w:r>
        <w:t xml:space="preserve">3.1.3 </w:t>
      </w:r>
      <w:r>
        <w:tab/>
      </w:r>
      <w:r>
        <w:t>Emerging Legislation on Parentage in Surrogacy and ART in Nigeria</w:t>
      </w:r>
      <w:bookmarkEnd w:id="70"/>
    </w:p>
    <w:p w14:paraId="4B73B7E3">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 xml:space="preserve">The legal system is no longer wholly silent on assisted reproduction and surrogacy. Two developments are notable. First is the Lagos State introduced the </w:t>
      </w:r>
      <w:r>
        <w:rPr>
          <w:rFonts w:ascii="Times New Roman" w:cs="Times New Roman" w:eastAsia="Times New Roman" w:hAnsi="Times New Roman"/>
          <w:bCs/>
          <w:sz w:val="24"/>
          <w:szCs w:val="24"/>
          <w:lang w:val="en-US"/>
        </w:rPr>
        <w:t>ART Practice in Lagos State: Regulations and Guidelines (2019)</w:t>
      </w:r>
      <w:r>
        <w:rPr>
          <w:rFonts w:ascii="Times New Roman" w:cs="Times New Roman" w:eastAsia="Times New Roman" w:hAnsi="Times New Roman"/>
          <w:sz w:val="24"/>
          <w:szCs w:val="24"/>
          <w:lang w:val="en-US"/>
        </w:rPr>
        <w:t>. This is a subnational regulatory instrument aimed at registration, accreditation, monitoring, ethical compliance, and minimum standards for ART clinics. Secondly, (at the federal level) the</w:t>
      </w:r>
      <w:r>
        <w:rPr>
          <w:rFonts w:ascii="Times New Roman" w:cs="Times New Roman" w:eastAsia="Times New Roman" w:hAnsi="Times New Roman"/>
          <w:bCs/>
          <w:i/>
          <w:iCs/>
          <w:sz w:val="24"/>
          <w:szCs w:val="24"/>
          <w:lang w:val="en-US"/>
        </w:rPr>
        <w:t>Women’s Health and Surrogacy Protection Bill, 2025 (HB.2340)</w:t>
      </w:r>
      <w:r>
        <w:rPr>
          <w:rFonts w:ascii="Times New Roman" w:cs="Times New Roman" w:eastAsia="Times New Roman" w:hAnsi="Times New Roman"/>
          <w:sz w:val="24"/>
          <w:szCs w:val="24"/>
          <w:lang w:val="en-US"/>
        </w:rPr>
        <w:t xml:space="preserve"> was introduced in the House of Representatives and received First Reading on 21 May 2025.</w:t>
      </w:r>
      <w:r>
        <w:rPr>
          <w:rStyle w:val="style38"/>
          <w:rFonts w:ascii="Times New Roman" w:cs="Times New Roman" w:eastAsia="Times New Roman" w:hAnsi="Times New Roman"/>
          <w:sz w:val="24"/>
          <w:szCs w:val="24"/>
          <w:lang w:val="en-US"/>
        </w:rPr>
        <w:footnoteReference w:id="493"/>
      </w:r>
    </w:p>
    <w:p w14:paraId="0BD4D437">
      <w:pPr>
        <w:pStyle w:val="style0"/>
        <w:spacing w:lineRule="auto" w:line="480"/>
        <w:jc w:val="both"/>
        <w:rPr>
          <w:rFonts w:ascii="Times New Roman" w:cs="Times New Roman" w:eastAsia="Times New Roman" w:hAnsi="Times New Roman"/>
          <w:b/>
          <w:sz w:val="24"/>
          <w:szCs w:val="24"/>
          <w:lang w:val="en-US"/>
        </w:rPr>
      </w:pPr>
      <w:r>
        <w:rPr>
          <w:rFonts w:ascii="Times New Roman" w:cs="Times New Roman" w:eastAsia="Times New Roman" w:hAnsi="Times New Roman"/>
          <w:b/>
          <w:bCs/>
          <w:sz w:val="24"/>
          <w:szCs w:val="24"/>
          <w:lang w:val="en-US"/>
        </w:rPr>
        <w:t xml:space="preserve">3.1.3.1 </w:t>
      </w:r>
      <w:r>
        <w:rPr>
          <w:rFonts w:ascii="Times New Roman" w:cs="Times New Roman" w:eastAsia="Times New Roman" w:hAnsi="Times New Roman"/>
          <w:b/>
          <w:bCs/>
          <w:sz w:val="24"/>
          <w:szCs w:val="24"/>
          <w:lang w:val="en-US"/>
        </w:rPr>
        <w:tab/>
      </w:r>
      <w:r>
        <w:rPr>
          <w:rFonts w:ascii="Times New Roman" w:cs="Times New Roman" w:eastAsia="Times New Roman" w:hAnsi="Times New Roman"/>
          <w:b/>
          <w:bCs/>
          <w:sz w:val="24"/>
          <w:szCs w:val="24"/>
          <w:lang w:val="en-US"/>
        </w:rPr>
        <w:t>ART Practice in Lagos State: Regulations and Guidelines (2019)</w:t>
      </w:r>
    </w:p>
    <w:p w14:paraId="55FA2727">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The Lagos Guidelines are important because they are the clearest attempt to regulate ART practice on the ground. They were developed to address the growth of fertility clinics in Lagos. This includes undocumented centres and uneven ethical practices. In addition, that they cover matters such as clinic registration, accreditation, renewal, ethical standards, monitoring, enforcement, and penalties.  However, a limitation is that this guide only covers Lagos state. In addition, it is not a comprehensive federal statute for parentage. It focuses on clinical governance, not a complete theory of legal parenthood for children born through surrogacy and ART.</w:t>
      </w:r>
    </w:p>
    <w:p w14:paraId="7F71686C">
      <w:pPr>
        <w:pStyle w:val="style4"/>
        <w:rPr>
          <w:lang w:val="en-US"/>
        </w:rPr>
      </w:pPr>
      <w:r>
        <w:rPr>
          <w:lang w:val="en-US"/>
        </w:rPr>
        <w:t xml:space="preserve">3.1.3.2 </w:t>
      </w:r>
      <w:r>
        <w:rPr>
          <w:lang w:val="en-US"/>
        </w:rPr>
        <w:tab/>
      </w:r>
      <w:r>
        <w:rPr>
          <w:lang w:val="en-US"/>
        </w:rPr>
        <w:t>The Women’s Health and Surrogacy Protection Bill, 2025</w:t>
      </w:r>
    </w:p>
    <w:p w14:paraId="4333C8A7">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The Women's Health and Surrogacy Protection Bill, 2025 represents Nigeria's most significant federal attempt to regulate surrogacy. It aims to guarantee that surrogacy agreements are secure, moral, and considerate of women's well-being by allowing only selfless surrogacy, banning commercial surrogacy, protecting the rights of surrogate mothers, and avoiding exploitation</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494"/>
      </w:r>
      <w:r>
        <w:rPr>
          <w:rFonts w:ascii="Times New Roman" w:cs="Times New Roman" w:eastAsia="Times New Roman" w:hAnsi="Times New Roman"/>
          <w:sz w:val="24"/>
          <w:szCs w:val="24"/>
          <w:lang w:val="en-US"/>
        </w:rPr>
        <w:t xml:space="preserve"> </w:t>
      </w:r>
      <w:r>
        <w:rPr>
          <w:rFonts w:ascii="Times New Roman" w:cs="Times New Roman" w:hAnsi="Times New Roman"/>
          <w:sz w:val="24"/>
          <w:szCs w:val="24"/>
        </w:rPr>
        <w:t>Nevertheless, the Bill does not establish a comprehensive legal framework for determining parentage in ART. As Obadina observes, legislative efforts to regulate ART in Nigeria remain fragmented and fall short of a coherent parentage regime</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495"/>
      </w:r>
    </w:p>
    <w:p w14:paraId="328D43BF">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 xml:space="preserve">i. </w:t>
      </w:r>
      <w:r>
        <w:rPr>
          <w:rFonts w:ascii="Times New Roman" w:cs="Times New Roman" w:eastAsia="Times New Roman" w:hAnsi="Times New Roman"/>
          <w:b/>
          <w:bCs/>
          <w:sz w:val="24"/>
          <w:szCs w:val="24"/>
          <w:lang w:val="en-US"/>
        </w:rPr>
        <w:tab/>
      </w:r>
      <w:r>
        <w:rPr>
          <w:rFonts w:ascii="Times New Roman" w:cs="Times New Roman" w:eastAsia="Times New Roman" w:hAnsi="Times New Roman"/>
          <w:b/>
          <w:bCs/>
          <w:sz w:val="24"/>
          <w:szCs w:val="24"/>
          <w:lang w:val="en-US"/>
        </w:rPr>
        <w:t>Strengths of the Bill</w:t>
      </w:r>
    </w:p>
    <w:p w14:paraId="7FC443CA">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Firstly, the bill recognizes that surrogacy is a matter which requires legal regulation. That alone is significant in the Nigeria, the law is fragmented and underdeveloped. It sets out express objectives for regulating surrogacy arrangements. Hence, it would protect women’s health as well as prevent exploitation. Secondly, the bill protects informed consent and prohibits coercion. It acknowledges the surrogate mother's entitlement to healthcare and fair remuneration for expenses associated with the pregnancy. Monetary disagreements frequently arise in surrogacy agreements.</w:t>
      </w:r>
      <w:r>
        <w:rPr>
          <w:rStyle w:val="style38"/>
          <w:rFonts w:ascii="Times New Roman" w:cs="Times New Roman" w:eastAsia="Times New Roman" w:hAnsi="Times New Roman"/>
          <w:sz w:val="24"/>
          <w:szCs w:val="24"/>
          <w:lang w:val="en-US"/>
        </w:rPr>
        <w:footnoteReference w:id="496"/>
      </w:r>
      <w:r>
        <w:rPr>
          <w:rFonts w:ascii="Times New Roman" w:cs="Times New Roman" w:eastAsia="Times New Roman" w:hAnsi="Times New Roman"/>
          <w:sz w:val="24"/>
          <w:szCs w:val="24"/>
          <w:lang w:val="en-US"/>
        </w:rPr>
        <w:t xml:space="preserve"> Establishing an escrow account, managed by a neutral third party, can help ensure that funds are distributed approximately and in accordance with the terms of the agreement, minimizing financial conflicts.</w:t>
      </w:r>
      <w:r>
        <w:rPr>
          <w:rStyle w:val="style38"/>
          <w:rFonts w:ascii="Times New Roman" w:cs="Times New Roman" w:eastAsia="Times New Roman" w:hAnsi="Times New Roman"/>
          <w:sz w:val="24"/>
          <w:szCs w:val="24"/>
          <w:lang w:val="en-US"/>
        </w:rPr>
        <w:footnoteReference w:id="497"/>
      </w:r>
      <w:r>
        <w:rPr>
          <w:rFonts w:ascii="Times New Roman" w:cs="Times New Roman" w:eastAsia="Times New Roman" w:hAnsi="Times New Roman"/>
          <w:sz w:val="24"/>
          <w:szCs w:val="24"/>
          <w:lang w:val="en-US"/>
        </w:rPr>
        <w:t xml:space="preserve"> This is important because unregulated surrogacy exposes women exploitation, and insufficient medical protection.</w:t>
      </w:r>
      <w:r>
        <w:rPr>
          <w:rStyle w:val="style38"/>
          <w:rFonts w:ascii="Times New Roman" w:cs="Times New Roman" w:eastAsia="Times New Roman" w:hAnsi="Times New Roman"/>
          <w:sz w:val="24"/>
          <w:szCs w:val="24"/>
          <w:lang w:val="en-US"/>
        </w:rPr>
        <w:footnoteReference w:id="498"/>
      </w:r>
      <w:r>
        <w:rPr>
          <w:rFonts w:ascii="Times New Roman" w:cs="Times New Roman" w:eastAsia="Times New Roman" w:hAnsi="Times New Roman"/>
          <w:sz w:val="24"/>
          <w:szCs w:val="24"/>
          <w:lang w:val="en-US"/>
        </w:rPr>
        <w:t xml:space="preserve"> In the United Kingdom, there is no mandatory escrow system; instead, courts scrutinize payments when determining parental orders and generally permit only reasonable expenses rather than commercial profit. Several European jurisdictions similarly prohibit commercial surrogacy or strictly regulate permissible payments.</w:t>
      </w:r>
    </w:p>
    <w:p w14:paraId="46D08ACF">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Additionally, the legislation is guided by ethical considerations. It seeks to ban commercial surrogacy while allowing altruistic surrogacy under specific conditions. Moreover, it necessitates guidance for both the surrogate and the intended parents. Additionally, the legislation establishes a structure for implementation. It establishes violations and consequences for not adhering to rules regarding altruistic surrogacy. Furthermore, it empowers the Minister to establish regulations for execution. In that regard, the Bill should not be completely disregarded. Any evaluation of the Bill must consequently be fair.</w:t>
      </w:r>
      <w:r>
        <w:rPr>
          <w:rStyle w:val="style38"/>
          <w:rFonts w:ascii="Times New Roman" w:cs="Times New Roman" w:eastAsia="Times New Roman" w:hAnsi="Times New Roman"/>
          <w:sz w:val="24"/>
          <w:szCs w:val="24"/>
          <w:lang w:val="en-US"/>
        </w:rPr>
        <w:footnoteReference w:id="499"/>
      </w:r>
    </w:p>
    <w:p w14:paraId="4256A696">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 xml:space="preserve">ii. </w:t>
      </w:r>
      <w:r>
        <w:rPr>
          <w:rFonts w:ascii="Times New Roman" w:cs="Times New Roman" w:eastAsia="Times New Roman" w:hAnsi="Times New Roman"/>
          <w:b/>
          <w:bCs/>
          <w:sz w:val="24"/>
          <w:szCs w:val="24"/>
          <w:lang w:val="en-US"/>
        </w:rPr>
        <w:tab/>
      </w:r>
      <w:r>
        <w:rPr>
          <w:rFonts w:ascii="Times New Roman" w:cs="Times New Roman" w:eastAsia="Times New Roman" w:hAnsi="Times New Roman"/>
          <w:b/>
          <w:bCs/>
          <w:sz w:val="24"/>
          <w:szCs w:val="24"/>
          <w:lang w:val="en-US"/>
        </w:rPr>
        <w:t>Gaps and Ambiguities in the Bill</w:t>
      </w:r>
    </w:p>
    <w:p w14:paraId="685E2E9F">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There are significant omissions in the legislation. To begin with, it does not clarify who the legal guardians of a child conceived via surrogacy are. The legislation outlines the terms “surrogacy” and “surrogate mother,” governs non-commercial surrogacy, and safeguards the health of women. Nonetheless, it fails to create a framework for transferring parentage or a guideline that specifies when legal parenthood transitions from the surrogate to the intended parent or parents.  In the absence of this rule, the Bill governs the arrangement itself but does not address the legal status of the child resulting from that arrangement.</w:t>
      </w:r>
      <w:r>
        <w:rPr>
          <w:rStyle w:val="style38"/>
          <w:rFonts w:ascii="Times New Roman" w:cs="Times New Roman" w:eastAsia="Times New Roman" w:hAnsi="Times New Roman"/>
          <w:sz w:val="24"/>
          <w:szCs w:val="24"/>
          <w:lang w:val="en-US"/>
        </w:rPr>
        <w:footnoteReference w:id="500"/>
      </w:r>
      <w:r>
        <w:rPr>
          <w:rFonts w:ascii="Times New Roman" w:cs="Times New Roman" w:eastAsia="Times New Roman" w:hAnsi="Times New Roman"/>
          <w:sz w:val="24"/>
          <w:szCs w:val="24"/>
          <w:lang w:val="en-US"/>
        </w:rPr>
        <w:t xml:space="preserve">  This disparity is particularly noticeable in Nigeria, especially in cases where the intended parent is single or when same-sex parenting is present. As Nigeria currently lacks a thorough surrogacy law, the legal status of the child is often addressed through adoption law. Under </w:t>
      </w:r>
      <w:r>
        <w:rPr>
          <w:rFonts w:ascii="Times New Roman" w:cs="Times New Roman" w:eastAsia="Times New Roman" w:hAnsi="Times New Roman"/>
          <w:i/>
          <w:iCs/>
          <w:sz w:val="24"/>
          <w:szCs w:val="24"/>
          <w:lang w:val="en-US"/>
        </w:rPr>
        <w:t>section 129 of the CRA</w:t>
      </w:r>
      <w:r>
        <w:rPr>
          <w:rFonts w:ascii="Times New Roman" w:cs="Times New Roman" w:eastAsia="Times New Roman" w:hAnsi="Times New Roman"/>
          <w:sz w:val="24"/>
          <w:szCs w:val="24"/>
          <w:lang w:val="en-US"/>
        </w:rPr>
        <w:t xml:space="preserve">, a single person may adopt only a child of the same sex, while joint adoption is reserved for married couples. This means that a single father would generally be limited to adopting a male child, while a single woman would generally be limited to adopting a female child. Likewise, two unmarried men cannot adopt jointly as a married couple, especially because the </w:t>
      </w:r>
      <w:r>
        <w:rPr>
          <w:rFonts w:ascii="Times New Roman" w:cs="Times New Roman" w:eastAsia="Times New Roman" w:hAnsi="Times New Roman"/>
          <w:i/>
          <w:iCs/>
          <w:sz w:val="24"/>
          <w:szCs w:val="24"/>
          <w:lang w:val="en-US"/>
        </w:rPr>
        <w:t>Same Sex Marriage (Prohibition) Act</w:t>
      </w:r>
      <w:r>
        <w:rPr>
          <w:rFonts w:ascii="Times New Roman" w:cs="Times New Roman" w:eastAsia="Times New Roman" w:hAnsi="Times New Roman"/>
          <w:sz w:val="24"/>
          <w:szCs w:val="24"/>
          <w:lang w:val="en-US"/>
        </w:rPr>
        <w:t xml:space="preserve"> recognizes only marriage between a woman and man. Secondly, the bill is silent on birth registration and record-keeping. There is no clear process for registering a child born via surrogacy or determining whose name should be listed on the birth record initially or finally. There is also no mechanism to determine whether court approval or administrative approval is needed and how confidentiality and identity interests are to be balanced.  Thirdly, the bill does not set out the legal status of donors. It also does not establish whether donors can or cannot claim parentage or the legal status of intended parents utilising donor gametes as parents by default. It fails to consider how to manage donor anonymity and the child's best interests. Many surrogacy arrangements are intertwined with egg or sperm donation. Hence, any statute that regulates surrogacy without clarifying donor leaves a substantial part of the problem unresolved.</w:t>
      </w:r>
      <w:r>
        <w:rPr>
          <w:rStyle w:val="style38"/>
          <w:rFonts w:ascii="Times New Roman" w:cs="Times New Roman" w:eastAsia="Times New Roman" w:hAnsi="Times New Roman"/>
          <w:sz w:val="24"/>
          <w:szCs w:val="24"/>
          <w:lang w:val="en-US"/>
        </w:rPr>
        <w:footnoteReference w:id="501"/>
      </w:r>
    </w:p>
    <w:p w14:paraId="6286838D">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Fourthly, the bill does not treat medical decision-making sufficiently. It protects informed consent and medical care. However, it does not explain who makes which medical decisions during pregnancy or whether the intended parents have any legal say. It also does not address how conflicts between the surrogate’s bodily autonomy and intended parents’ expectations are to be resolved or what happens in emergencies which affect the fetus or newborn. It is unclear whether the surrogate mother retains exclusive authority over critical decisions such as selective reduction in cases of multiple pregnancies (e.g., twins or higher-order multiples), or whether the intended parents can influence or challenge such decisions. Similarly, the bill does not address situations where prenatal screening reveals fetal abnormalities and the parties disagree particularly where one party opposes termination on religious or moral grounds while the other supports a medically recommended abortion.</w:t>
      </w:r>
      <w:r>
        <w:rPr>
          <w:rStyle w:val="style38"/>
          <w:rFonts w:ascii="Times New Roman" w:cs="Times New Roman" w:eastAsia="Times New Roman" w:hAnsi="Times New Roman"/>
          <w:sz w:val="24"/>
          <w:szCs w:val="24"/>
          <w:lang w:val="en-US"/>
        </w:rPr>
        <w:footnoteReference w:id="502"/>
      </w:r>
      <w:r>
        <w:rPr>
          <w:rFonts w:ascii="Times New Roman" w:cs="Times New Roman" w:eastAsia="Times New Roman" w:hAnsi="Times New Roman"/>
          <w:sz w:val="24"/>
          <w:szCs w:val="24"/>
          <w:lang w:val="en-US"/>
        </w:rPr>
        <w:t xml:space="preserve"> This poses significant challenges in Nigeria, where abortion is largely prohibited by criminal law, with only a few exceptions allowed to safeguard the mother's life. From a medical perspective, the gestational carrier holds exclusive authority over decisions related to abortion and the selective reduction of multiple pregnancies.</w:t>
      </w:r>
      <w:r>
        <w:rPr>
          <w:rStyle w:val="style38"/>
          <w:rFonts w:ascii="Times New Roman" w:cs="Times New Roman" w:eastAsia="Times New Roman" w:hAnsi="Times New Roman"/>
          <w:sz w:val="24"/>
          <w:szCs w:val="24"/>
          <w:lang w:val="en-US"/>
        </w:rPr>
        <w:footnoteReference w:id="503"/>
      </w:r>
      <w:r>
        <w:rPr>
          <w:rFonts w:ascii="Times New Roman" w:cs="Times New Roman" w:eastAsia="Times New Roman" w:hAnsi="Times New Roman"/>
          <w:sz w:val="24"/>
          <w:szCs w:val="24"/>
          <w:lang w:val="en-US"/>
        </w:rPr>
        <w:t xml:space="preserve"> In addition, the bill is silent on how routine but high-risk medical contingencies, such as pre-term labour, caesarean section, or conditions like preeclampsia are to be handled when disagreements arise. It does not clarify whether these disputes ought to be settled through alternative dispute resolution methods, through the courts, or by a specialised tribunal, nor does it provide any procedural framework for urgent decision-making in time-sensitive medical emergencies.</w:t>
      </w:r>
      <w:r>
        <w:rPr>
          <w:rStyle w:val="style38"/>
          <w:rFonts w:ascii="Times New Roman" w:cs="Times New Roman" w:eastAsia="Times New Roman" w:hAnsi="Times New Roman"/>
          <w:sz w:val="24"/>
          <w:szCs w:val="24"/>
          <w:lang w:val="en-US"/>
        </w:rPr>
        <w:footnoteReference w:id="504"/>
      </w:r>
      <w:r>
        <w:rPr>
          <w:rFonts w:ascii="Times New Roman" w:cs="Times New Roman" w:eastAsia="Times New Roman" w:hAnsi="Times New Roman"/>
          <w:sz w:val="24"/>
          <w:szCs w:val="24"/>
          <w:lang w:val="en-US"/>
        </w:rPr>
        <w:t xml:space="preserve"> Consequently, the legislation fails to address the core conflict between the surrogate's right to control her own body, which encompasses her ability to make personal medical decisions, and the rightful concerns of the intended parents regarding the pregnancy's result.</w:t>
      </w:r>
      <w:r>
        <w:rPr>
          <w:rStyle w:val="style38"/>
          <w:rFonts w:ascii="Times New Roman" w:cs="Times New Roman" w:eastAsia="Times New Roman" w:hAnsi="Times New Roman"/>
          <w:sz w:val="24"/>
          <w:szCs w:val="24"/>
          <w:lang w:val="en-US"/>
        </w:rPr>
        <w:footnoteReference w:id="505"/>
      </w:r>
      <w:r>
        <w:rPr>
          <w:rFonts w:ascii="Times New Roman" w:cs="Times New Roman" w:eastAsia="Times New Roman" w:hAnsi="Times New Roman"/>
          <w:sz w:val="24"/>
          <w:szCs w:val="24"/>
          <w:lang w:val="en-US"/>
        </w:rPr>
        <w:t xml:space="preserve"> Consent in healthcare is a structured process. To that effect, the wording of the bill is too sparse to resolve foreseeable conflicts in surrogacy practice. Fifthly, the bill</w:t>
      </w:r>
      <w:r>
        <w:rPr>
          <w:rStyle w:val="style38"/>
          <w:rFonts w:ascii="Times New Roman" w:cs="Times New Roman" w:eastAsia="Times New Roman" w:hAnsi="Times New Roman"/>
          <w:sz w:val="24"/>
          <w:szCs w:val="24"/>
          <w:lang w:val="en-US"/>
        </w:rPr>
        <w:footnoteReference w:id="506"/>
      </w:r>
      <w:r>
        <w:rPr>
          <w:rFonts w:ascii="Times New Roman" w:cs="Times New Roman" w:eastAsia="Times New Roman" w:hAnsi="Times New Roman"/>
          <w:sz w:val="24"/>
          <w:szCs w:val="24"/>
          <w:lang w:val="en-US"/>
        </w:rPr>
        <w:t xml:space="preserve"> does not make enough child-focused provisions. Indeed, the Bill refers to commodification of children and the ethics of surrogacy. However, it does not address the child’s legal identity, nationality, parentage continuity, access to records, succession rights, or remedies comprehensively if disputes arise. Scholars insist that the legal centre of gravity should not be adults alone.</w:t>
      </w:r>
      <w:r>
        <w:rPr>
          <w:rStyle w:val="style38"/>
          <w:rFonts w:ascii="Times New Roman" w:cs="Times New Roman" w:eastAsia="Times New Roman" w:hAnsi="Times New Roman"/>
          <w:sz w:val="24"/>
          <w:szCs w:val="24"/>
          <w:lang w:val="en-US"/>
        </w:rPr>
        <w:footnoteReference w:id="507"/>
      </w:r>
      <w:r>
        <w:rPr>
          <w:rFonts w:ascii="Times New Roman" w:cs="Times New Roman" w:eastAsia="Times New Roman" w:hAnsi="Times New Roman"/>
          <w:sz w:val="24"/>
          <w:szCs w:val="24"/>
          <w:lang w:val="en-US"/>
        </w:rPr>
        <w:t xml:space="preserve"> Rather it should also be the status and welfare of the child. On that metric, the Bill remains underdeveloped.</w:t>
      </w:r>
      <w:r>
        <w:rPr>
          <w:rStyle w:val="style38"/>
          <w:rFonts w:ascii="Times New Roman" w:cs="Times New Roman" w:eastAsia="Times New Roman" w:hAnsi="Times New Roman"/>
          <w:sz w:val="24"/>
          <w:szCs w:val="24"/>
          <w:lang w:val="en-US"/>
        </w:rPr>
        <w:footnoteReference w:id="508"/>
      </w:r>
    </w:p>
    <w:p w14:paraId="772FAF8D">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 xml:space="preserve">iii. </w:t>
      </w:r>
      <w:r>
        <w:rPr>
          <w:rFonts w:ascii="Times New Roman" w:cs="Times New Roman" w:eastAsia="Times New Roman" w:hAnsi="Times New Roman"/>
          <w:b/>
          <w:bCs/>
          <w:sz w:val="24"/>
          <w:szCs w:val="24"/>
          <w:lang w:val="en-US"/>
        </w:rPr>
        <w:tab/>
      </w:r>
      <w:r>
        <w:rPr>
          <w:rFonts w:ascii="Times New Roman" w:cs="Times New Roman" w:eastAsia="Times New Roman" w:hAnsi="Times New Roman"/>
          <w:b/>
          <w:bCs/>
          <w:sz w:val="24"/>
          <w:szCs w:val="24"/>
          <w:lang w:val="en-US"/>
        </w:rPr>
        <w:t>Areas of Conflict with Existing Law in Nigeria</w:t>
      </w:r>
    </w:p>
    <w:p w14:paraId="729E06C3">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 xml:space="preserve">The bill also conflict with existing laws in Nigeria in several areas. Firstly, </w:t>
      </w:r>
      <w:r>
        <w:rPr>
          <w:rFonts w:ascii="Times New Roman" w:cs="Times New Roman" w:eastAsia="Times New Roman" w:hAnsi="Times New Roman"/>
          <w:i/>
          <w:iCs/>
          <w:sz w:val="24"/>
          <w:szCs w:val="24"/>
          <w:lang w:val="en-US"/>
        </w:rPr>
        <w:t xml:space="preserve">the Evidence Act </w:t>
      </w:r>
      <w:r>
        <w:rPr>
          <w:rFonts w:ascii="Times New Roman" w:cs="Times New Roman" w:eastAsia="Times New Roman" w:hAnsi="Times New Roman"/>
          <w:sz w:val="24"/>
          <w:szCs w:val="24"/>
          <w:lang w:val="en-US"/>
        </w:rPr>
        <w:t xml:space="preserve">and the wider family-law structure still operate on orthodox assumptions of legitimacy and conventional reproduction. More so, the </w:t>
      </w:r>
      <w:r>
        <w:rPr>
          <w:rFonts w:ascii="Times New Roman" w:cs="Times New Roman" w:eastAsia="Times New Roman" w:hAnsi="Times New Roman"/>
          <w:i/>
          <w:iCs/>
          <w:sz w:val="24"/>
          <w:szCs w:val="24"/>
          <w:lang w:val="en-US"/>
        </w:rPr>
        <w:t>birth registration Act</w:t>
      </w:r>
      <w:r>
        <w:rPr>
          <w:rFonts w:ascii="Times New Roman" w:cs="Times New Roman" w:eastAsia="Times New Roman" w:hAnsi="Times New Roman"/>
          <w:sz w:val="24"/>
          <w:szCs w:val="24"/>
          <w:lang w:val="en-US"/>
        </w:rPr>
        <w:t xml:space="preserve"> assumes that parental categories may be recorded at or shortly after birth. Indeed, the Bill does not displace or harmonize these older frameworks. Hence, there remains uncertainty as to whether the surrogate mother would continue to be treated as the legal mother at birth or whether the intended parents would require further legal steps. In short, the Bill sits beside older law</w:t>
      </w:r>
      <w:r>
        <w:rPr>
          <w:rStyle w:val="style38"/>
          <w:rFonts w:ascii="Times New Roman" w:cs="Times New Roman" w:eastAsia="Times New Roman" w:hAnsi="Times New Roman"/>
          <w:sz w:val="24"/>
          <w:szCs w:val="24"/>
          <w:lang w:val="en-US"/>
        </w:rPr>
        <w:footnoteReference w:id="509"/>
      </w:r>
      <w:r>
        <w:rPr>
          <w:rFonts w:ascii="Times New Roman" w:cs="Times New Roman" w:eastAsia="Times New Roman" w:hAnsi="Times New Roman"/>
          <w:sz w:val="24"/>
          <w:szCs w:val="24"/>
          <w:lang w:val="en-US"/>
        </w:rPr>
        <w:t xml:space="preserve"> but does not fully integrate with it.  Secondly,the Constitution guarantees private and family life, and medical consent law in Nigeria is connected to bodily autonomy and informational privacy. Yet the Bill does not explain how records will be kept and who may access information about the arrangement. It also does not address how donor information will be handled and how the interests will be balanced against claims of privacy. Thirdly, the bill does not address succession. In Nigeria, inheritance is regulated by laws concerning wills, the management of estates, and traditional succession principles. The bill</w:t>
      </w:r>
      <w:r>
        <w:rPr>
          <w:rStyle w:val="style38"/>
          <w:rFonts w:ascii="Times New Roman" w:cs="Times New Roman" w:eastAsia="Times New Roman" w:hAnsi="Times New Roman"/>
          <w:sz w:val="24"/>
          <w:szCs w:val="24"/>
          <w:lang w:val="en-US"/>
        </w:rPr>
        <w:footnoteReference w:id="510"/>
      </w:r>
      <w:r>
        <w:rPr>
          <w:rFonts w:ascii="Times New Roman" w:cs="Times New Roman" w:eastAsia="Times New Roman" w:hAnsi="Times New Roman"/>
          <w:sz w:val="24"/>
          <w:szCs w:val="24"/>
          <w:lang w:val="en-US"/>
        </w:rPr>
        <w:t xml:space="preserve"> does not specify if a child born via surrogacy is considered the offspring of the intended parents for all inheritance matters.</w:t>
      </w:r>
      <w:r>
        <w:rPr>
          <w:rStyle w:val="style38"/>
          <w:rFonts w:ascii="Times New Roman" w:cs="Times New Roman" w:eastAsia="Times New Roman" w:hAnsi="Times New Roman"/>
          <w:sz w:val="24"/>
          <w:szCs w:val="24"/>
          <w:lang w:val="en-US"/>
        </w:rPr>
        <w:footnoteReference w:id="511"/>
      </w:r>
    </w:p>
    <w:p w14:paraId="540DA0AA">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 xml:space="preserve">In addition, institutional regulatory proposals have re-emerged in newer forms, such as the </w:t>
      </w:r>
      <w:r>
        <w:rPr>
          <w:rFonts w:ascii="Times New Roman" w:cs="Times New Roman" w:eastAsia="Times New Roman" w:hAnsi="Times New Roman"/>
          <w:i/>
          <w:iCs/>
          <w:sz w:val="24"/>
          <w:szCs w:val="24"/>
          <w:lang w:val="en-US"/>
        </w:rPr>
        <w:t>Bill for an Act to Provide for the Establishment of the National Assisted Reproduction Technology and Surrogacy Board, 2024 (HB.1902)</w:t>
      </w:r>
      <w:r>
        <w:rPr>
          <w:rFonts w:ascii="Times New Roman" w:cs="Times New Roman" w:eastAsia="Times New Roman" w:hAnsi="Times New Roman"/>
          <w:sz w:val="24"/>
          <w:szCs w:val="24"/>
          <w:lang w:val="en-US"/>
        </w:rPr>
        <w:t xml:space="preserve"> and the </w:t>
      </w:r>
      <w:r>
        <w:rPr>
          <w:rFonts w:ascii="Times New Roman" w:cs="Times New Roman" w:eastAsia="Times New Roman" w:hAnsi="Times New Roman"/>
          <w:i/>
          <w:iCs/>
          <w:sz w:val="24"/>
          <w:szCs w:val="24"/>
          <w:lang w:val="en-US"/>
        </w:rPr>
        <w:t xml:space="preserve">Bill for an Act to Establish the Nigeria Human Fertilization and Embryology Regulatory Commission, 2024. </w:t>
      </w:r>
      <w:r>
        <w:rPr>
          <w:rFonts w:ascii="Times New Roman" w:cs="Times New Roman" w:eastAsia="Times New Roman" w:hAnsi="Times New Roman"/>
          <w:sz w:val="24"/>
          <w:szCs w:val="24"/>
          <w:lang w:val="en-US"/>
        </w:rPr>
        <w:t>These proposals reflect global frameworks by promoting a dedicated regulatory authority tasked with licensing, overseeing compliance, managing registries, and upholding ethical standards in ART and surrogacy practices.</w:t>
      </w:r>
    </w:p>
    <w:bookmarkStart w:id="71" w:name="_Toc233678276"/>
    <w:p w14:paraId="3B61752D">
      <w:pPr>
        <w:pStyle w:val="style3"/>
        <w:rPr/>
      </w:pPr>
      <w:r>
        <w:t xml:space="preserve">3.1.4 </w:t>
      </w:r>
      <w:r>
        <w:tab/>
      </w:r>
      <w:r>
        <w:tab/>
      </w:r>
      <w:r>
        <w:t>Comparative Legislation from South Africa</w:t>
      </w:r>
      <w:bookmarkEnd w:id="71"/>
    </w:p>
    <w:p w14:paraId="5B0393C5">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lang w:val="en-US"/>
        </w:rPr>
        <w:t>I</w:t>
      </w:r>
      <w:r>
        <w:rPr>
          <w:rFonts w:ascii="Times New Roman" w:cs="Times New Roman" w:hAnsi="Times New Roman"/>
          <w:sz w:val="24"/>
          <w:szCs w:val="24"/>
        </w:rPr>
        <w:t xml:space="preserve">t is pertinent to examine the surrogacy law in south African comparatively. This is because South Africa is one of the few African jurisdictions with a detailed statute on surrogacy. </w:t>
      </w:r>
      <w:r>
        <w:rPr>
          <w:rFonts w:ascii="Times New Roman" w:cs="Times New Roman" w:hAnsi="Times New Roman"/>
          <w:i/>
          <w:iCs/>
          <w:sz w:val="24"/>
          <w:szCs w:val="24"/>
        </w:rPr>
        <w:t xml:space="preserve">Chapter 19 of South Africa’s </w:t>
      </w:r>
      <w:r>
        <w:rPr>
          <w:rStyle w:val="style87"/>
          <w:rFonts w:ascii="Times New Roman" w:cs="Times New Roman" w:hAnsi="Times New Roman"/>
          <w:b w:val="false"/>
          <w:i/>
          <w:iCs/>
          <w:sz w:val="24"/>
          <w:szCs w:val="24"/>
        </w:rPr>
        <w:t>Children’s Act 38 of 2005</w:t>
      </w:r>
      <w:r>
        <w:rPr>
          <w:rFonts w:ascii="Times New Roman" w:cs="Times New Roman" w:hAnsi="Times New Roman"/>
          <w:sz w:val="24"/>
          <w:szCs w:val="24"/>
        </w:rPr>
        <w:t xml:space="preserve"> provides a model that regulates the the legitimacy of surrogacy contracts, the court's endorsement, the criteria for genetic connection, the child's legal standing, banned compensations, privacy, and associated issues.</w:t>
      </w:r>
      <w:r>
        <w:rPr>
          <w:rStyle w:val="style38"/>
          <w:rFonts w:ascii="Times New Roman" w:cs="Times New Roman" w:hAnsi="Times New Roman"/>
          <w:sz w:val="24"/>
          <w:szCs w:val="24"/>
        </w:rPr>
        <w:footnoteReference w:id="512"/>
      </w:r>
      <w:r>
        <w:rPr>
          <w:rFonts w:ascii="Times New Roman" w:cs="Times New Roman" w:hAnsi="Times New Roman"/>
          <w:sz w:val="24"/>
          <w:szCs w:val="24"/>
        </w:rPr>
        <w:t xml:space="preserve"> However, because it is comparable does not mean it is suitable. Instead it offers valuable legislative lessons. Comparative law is most helpful where it informs local reform, not where it is copied mechanically.</w:t>
      </w:r>
      <w:r>
        <w:rPr>
          <w:rStyle w:val="style38"/>
          <w:rFonts w:ascii="Times New Roman" w:cs="Times New Roman" w:hAnsi="Times New Roman"/>
          <w:sz w:val="24"/>
          <w:szCs w:val="24"/>
        </w:rPr>
        <w:footnoteReference w:id="513"/>
      </w:r>
    </w:p>
    <w:p w14:paraId="488F83EA">
      <w:pPr>
        <w:pStyle w:val="style4"/>
        <w:rPr/>
      </w:pPr>
      <w:r>
        <w:t xml:space="preserve">3.1.4.1 </w:t>
      </w:r>
      <w:r>
        <w:tab/>
      </w:r>
      <w:r>
        <w:t>Overview of South African Surrogacy Law</w:t>
      </w:r>
    </w:p>
    <w:p w14:paraId="59EF747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South African surrogacy is governed by </w:t>
      </w:r>
      <w:r>
        <w:rPr>
          <w:rFonts w:ascii="Times New Roman" w:cs="Times New Roman" w:hAnsi="Times New Roman"/>
          <w:i/>
          <w:iCs/>
          <w:sz w:val="24"/>
          <w:szCs w:val="24"/>
        </w:rPr>
        <w:t>Chapter 19 of the Children's Act 38 of 2005.</w:t>
      </w:r>
      <w:r>
        <w:rPr>
          <w:rFonts w:ascii="Times New Roman" w:cs="Times New Roman" w:hAnsi="Times New Roman"/>
          <w:sz w:val="24"/>
          <w:szCs w:val="24"/>
        </w:rPr>
        <w:t xml:space="preserve"> A written agreement for surrogate motherhood is required and must be validated by the High Court, along with the consent of the spouse or partner of the commissioning parent or surrogate when relevant.</w:t>
      </w:r>
      <w:r>
        <w:rPr>
          <w:rStyle w:val="style38"/>
          <w:rFonts w:ascii="Times New Roman" w:cs="Times New Roman" w:hAnsi="Times New Roman"/>
          <w:sz w:val="24"/>
          <w:szCs w:val="24"/>
        </w:rPr>
        <w:footnoteReference w:id="514"/>
      </w:r>
      <w:r>
        <w:rPr>
          <w:rFonts w:ascii="Times New Roman" w:cs="Times New Roman" w:hAnsi="Times New Roman"/>
          <w:i/>
          <w:iCs/>
          <w:sz w:val="24"/>
          <w:szCs w:val="24"/>
          <w:lang w:val="en-US"/>
        </w:rPr>
        <w:t xml:space="preserve">Section 297 of the </w:t>
      </w:r>
      <w:r>
        <w:rPr>
          <w:rFonts w:ascii="Times New Roman" w:cs="Times New Roman" w:hAnsi="Times New Roman"/>
          <w:i/>
          <w:iCs/>
          <w:sz w:val="24"/>
          <w:szCs w:val="24"/>
        </w:rPr>
        <w:t>Act</w:t>
      </w:r>
      <w:r>
        <w:rPr>
          <w:rFonts w:ascii="Times New Roman" w:cs="Times New Roman" w:hAnsi="Times New Roman"/>
          <w:sz w:val="24"/>
          <w:szCs w:val="24"/>
        </w:rPr>
        <w:t xml:space="preserve"> provides a comprehensive parentage regime. Upon the establishment of a legitimate agreement, the child is considered the offspring of the commissioning parent or parents from the moment of birth. The surrogate is required to relinquish the child, and neither she nor her family members hold any responsibilities regarding maintenance or inheritance. On the other hand, if the legal criteria are not met, the child is considered to belong to the woman who gave birth.</w:t>
      </w:r>
    </w:p>
    <w:p w14:paraId="2710072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legislation mandates a genetic connection with at least one parent involved in the commissioning process and allows for court consent solely in cases where the commissioning parent or parents are permanently incapable of childbirth, the individuals involved are deemed appropriate, the surrogate is acting out of goodwill, has previously delivered a living child, and the arrangement sufficiently safeguards the child's well-being</w:t>
      </w:r>
      <w:r>
        <w:rPr>
          <w:rFonts w:ascii="Times New Roman" w:cs="Times New Roman" w:hAnsi="Times New Roman"/>
          <w:sz w:val="24"/>
          <w:szCs w:val="24"/>
          <w:lang w:val="en-US"/>
        </w:rPr>
        <w:t>.</w:t>
      </w:r>
      <w:r>
        <w:rPr>
          <w:rStyle w:val="style38"/>
          <w:rFonts w:ascii="Times New Roman" w:cs="Times New Roman" w:hAnsi="Times New Roman"/>
          <w:sz w:val="24"/>
          <w:szCs w:val="24"/>
        </w:rPr>
        <w:footnoteReference w:id="515"/>
      </w:r>
      <w:r>
        <w:rPr>
          <w:rFonts w:ascii="Times New Roman" w:cs="Times New Roman" w:hAnsi="Times New Roman"/>
        </w:rPr>
        <w:t xml:space="preserve"> </w:t>
      </w:r>
      <w:r>
        <w:rPr>
          <w:rFonts w:ascii="Times New Roman" w:cs="Times New Roman" w:hAnsi="Times New Roman"/>
          <w:sz w:val="24"/>
          <w:szCs w:val="24"/>
          <w:lang w:val="en-US"/>
        </w:rPr>
        <w:t>According to section 301 of the Act, commercial surrogacy is banned, allowing only for reasonable expenses related to pregnancy, while confidentiality is safeguarded by limiting the sharing of the parties' identities</w:t>
      </w:r>
      <w:r>
        <w:rPr>
          <w:rFonts w:ascii="Times New Roman" w:cs="Times New Roman" w:hAnsi="Times New Roman"/>
          <w:sz w:val="24"/>
          <w:szCs w:val="24"/>
        </w:rPr>
        <w:t xml:space="preserve"> and the child without the required consent.</w:t>
      </w:r>
      <w:r>
        <w:rPr>
          <w:rStyle w:val="style38"/>
          <w:rFonts w:ascii="Times New Roman" w:cs="Times New Roman" w:hAnsi="Times New Roman"/>
          <w:sz w:val="24"/>
          <w:szCs w:val="24"/>
        </w:rPr>
        <w:footnoteReference w:id="516"/>
      </w:r>
      <w:r>
        <w:rPr>
          <w:rFonts w:ascii="Times New Roman" w:cs="Times New Roman" w:hAnsi="Times New Roman"/>
          <w:sz w:val="24"/>
          <w:szCs w:val="24"/>
        </w:rPr>
        <w:t xml:space="preserve"> Overall, the South African model integrates judicial oversight, legal parentage, altruism, compensation limits and privacy into a coherent statutory framework. Although scholars have criticised aspects of the genetic-link requirement and certain ethical restrictions, it provides substantially greater legal certainty than the current Nigerian position and offers a valuable, though not flawless, model for reform.</w:t>
      </w:r>
      <w:r>
        <w:rPr>
          <w:rStyle w:val="style38"/>
          <w:rFonts w:ascii="Times New Roman" w:cs="Times New Roman" w:hAnsi="Times New Roman"/>
          <w:sz w:val="24"/>
          <w:szCs w:val="24"/>
        </w:rPr>
        <w:footnoteReference w:id="517"/>
      </w:r>
    </w:p>
    <w:p w14:paraId="778CE13D">
      <w:pPr>
        <w:pStyle w:val="style4"/>
        <w:rPr/>
      </w:pPr>
      <w:r>
        <w:t xml:space="preserve">3.1.4.2 </w:t>
      </w:r>
      <w:r>
        <w:tab/>
      </w:r>
      <w:r>
        <w:t>Similarities Between the Nigerian Bill and the South African Model</w:t>
      </w:r>
    </w:p>
    <w:p w14:paraId="1FD89EE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w:t>
      </w:r>
      <w:r>
        <w:rPr>
          <w:rFonts w:ascii="Times New Roman" w:cs="Times New Roman" w:hAnsi="Times New Roman"/>
          <w:i/>
          <w:iCs/>
          <w:sz w:val="24"/>
          <w:szCs w:val="24"/>
        </w:rPr>
        <w:t xml:space="preserve">Nigerian </w:t>
      </w:r>
      <w:r>
        <w:rPr>
          <w:rStyle w:val="style87"/>
          <w:rFonts w:ascii="Times New Roman" w:cs="Times New Roman" w:hAnsi="Times New Roman"/>
          <w:b w:val="false"/>
          <w:i/>
          <w:iCs/>
          <w:sz w:val="24"/>
          <w:szCs w:val="24"/>
        </w:rPr>
        <w:t>Women’s Health and Surrogacy Protection Bill, 2025</w:t>
      </w:r>
      <w:r>
        <w:rPr>
          <w:rFonts w:ascii="Times New Roman" w:cs="Times New Roman" w:hAnsi="Times New Roman"/>
          <w:sz w:val="24"/>
          <w:szCs w:val="24"/>
        </w:rPr>
        <w:t>does not state that it was copied from South Africa.</w:t>
      </w:r>
      <w:r>
        <w:rPr>
          <w:rStyle w:val="style38"/>
          <w:rFonts w:ascii="Times New Roman" w:cs="Times New Roman" w:hAnsi="Times New Roman"/>
          <w:sz w:val="24"/>
          <w:szCs w:val="24"/>
        </w:rPr>
        <w:footnoteReference w:id="518"/>
      </w:r>
      <w:r>
        <w:rPr>
          <w:rFonts w:ascii="Times New Roman" w:cs="Times New Roman" w:hAnsi="Times New Roman"/>
          <w:sz w:val="24"/>
          <w:szCs w:val="24"/>
        </w:rPr>
        <w:t xml:space="preserve"> However, the resemblance between the two frameworks is strong enough that it justifies comparative scrutiny.  It is arguable that the surrogacy bill in Nigeria was copied from the South African model, given the striking similarities, although the Nigerian version remains less detailed and less coherent on the issue of legal parentage.</w:t>
      </w:r>
      <w:r>
        <w:rPr>
          <w:rStyle w:val="style38"/>
          <w:rFonts w:ascii="Times New Roman" w:cs="Times New Roman" w:hAnsi="Times New Roman"/>
          <w:sz w:val="24"/>
          <w:szCs w:val="24"/>
        </w:rPr>
        <w:footnoteReference w:id="519"/>
      </w:r>
      <w:r>
        <w:rPr>
          <w:rFonts w:ascii="Times New Roman" w:cs="Times New Roman" w:hAnsi="Times New Roman"/>
          <w:sz w:val="24"/>
          <w:szCs w:val="24"/>
        </w:rPr>
        <w:t xml:space="preserve">Both models reject commercial surrogacy and accept only altruistic or non-commercial arrangements. Both also place significant weight on protecting surrogate, ethical supervision as well as preventing exploitation. In the Nigerian Bill, commercial surrogacy is banned, while altruistic surrogacy is allowed under certain conditions. There must be counselling, and the surrogate is guaranteed informed consent. She is also protected from coercion. In addition, she is given medical care, as well as compensation for pregnancy-related expenses. These are similar to the South African model which prohibits payment beyond specified expenses. The </w:t>
      </w:r>
      <w:r>
        <w:rPr>
          <w:rFonts w:ascii="Times New Roman" w:cs="Times New Roman" w:hAnsi="Times New Roman"/>
          <w:sz w:val="24"/>
          <w:szCs w:val="24"/>
          <w:lang w:val="en-US"/>
        </w:rPr>
        <w:t>S</w:t>
      </w:r>
      <w:r>
        <w:rPr>
          <w:rFonts w:ascii="Times New Roman" w:cs="Times New Roman" w:hAnsi="Times New Roman"/>
          <w:sz w:val="24"/>
          <w:szCs w:val="24"/>
        </w:rPr>
        <w:t xml:space="preserve">outh </w:t>
      </w:r>
      <w:r>
        <w:rPr>
          <w:rFonts w:ascii="Times New Roman" w:cs="Times New Roman" w:hAnsi="Times New Roman"/>
          <w:sz w:val="24"/>
          <w:szCs w:val="24"/>
          <w:lang w:val="en-US"/>
        </w:rPr>
        <w:t>A</w:t>
      </w:r>
      <w:r>
        <w:rPr>
          <w:rFonts w:ascii="Times New Roman" w:cs="Times New Roman" w:hAnsi="Times New Roman"/>
          <w:sz w:val="24"/>
          <w:szCs w:val="24"/>
        </w:rPr>
        <w:t>frican model also insists on altruistic surrogacy and prior regulation.</w:t>
      </w:r>
      <w:r>
        <w:rPr>
          <w:rStyle w:val="style38"/>
          <w:rFonts w:ascii="Times New Roman" w:cs="Times New Roman" w:hAnsi="Times New Roman"/>
          <w:sz w:val="24"/>
          <w:szCs w:val="24"/>
        </w:rPr>
        <w:footnoteReference w:id="520"/>
      </w:r>
    </w:p>
    <w:p w14:paraId="0971129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similarity is not only ethical. Rather, it is structural. Both frameworks attempt to move surrogacy away from a private or clandestine market and toward an arrangement which is regulated and rights-conscious. South African law does this through a judicial confirmation. Conversely, the Nigerian Bill does so through statutory provisions and ministerial power. In essence, surrogacy should not be left to private bargaining. There is also a thematic overlap in the concern for child welfare. South African legislation mandates that the court take into account the overall well-being of the child and the child's circumstances in cases of death, separation, or divorce of the commissioning parents prior to birth.  On the other hand, the Nigerian Bill is much thinner in this regard. It prevents the commodification of children as well as regulates surrogacy in an ethical manner.</w:t>
      </w:r>
      <w:r>
        <w:rPr>
          <w:rStyle w:val="style38"/>
          <w:rFonts w:ascii="Times New Roman" w:cs="Times New Roman" w:hAnsi="Times New Roman"/>
          <w:sz w:val="24"/>
          <w:szCs w:val="24"/>
        </w:rPr>
        <w:footnoteReference w:id="521"/>
      </w:r>
    </w:p>
    <w:p w14:paraId="49ABB19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However, the similarity is incomplete. The most important distinction is that South African law is detailed on parentage. On the other hand, the Nigerian Bill is not. In South Africa, a valid arrangement establishes that the child is recognised as the child of the commissioning parent or parents from the moment of birth. Conversely, the legislation in Nigeria does not address this matter. That means the Nigerian </w:t>
      </w:r>
      <w:r>
        <w:rPr>
          <w:rFonts w:ascii="Times New Roman" w:cs="Times New Roman" w:hAnsi="Times New Roman"/>
          <w:sz w:val="24"/>
          <w:szCs w:val="24"/>
          <w:lang w:val="en-US"/>
        </w:rPr>
        <w:t>b</w:t>
      </w:r>
      <w:r>
        <w:rPr>
          <w:rFonts w:ascii="Times New Roman" w:cs="Times New Roman" w:hAnsi="Times New Roman"/>
          <w:sz w:val="24"/>
          <w:szCs w:val="24"/>
        </w:rPr>
        <w:t xml:space="preserve">ill resembles the South African model in its anti-commercial and protective orientation, but it does not yet replicate the doctrinal depth that makes the South African system legally workable. </w:t>
      </w:r>
    </w:p>
    <w:p w14:paraId="396EC9BD">
      <w:pPr>
        <w:pStyle w:val="style4"/>
        <w:rPr/>
      </w:pPr>
      <w:r>
        <w:t xml:space="preserve">3.1.4.3 </w:t>
      </w:r>
      <w:r>
        <w:tab/>
      </w:r>
      <w:r>
        <w:t>Cultural and Constitutional differences Between South Africa and Nigeria</w:t>
      </w:r>
    </w:p>
    <w:p w14:paraId="53B4D42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fact that South Africa has a functioning surrogacy regime does not mean that its model can be transplanted into Nigeria without difficulty. The two jurisdictions differ legally as well as socially and constitutionally. South African surrogacy law emerged within a constitutional culture which is shaped by rights-based adjudication and children’s rights as well as family autonomy. Nigerian law also </w:t>
      </w:r>
      <w:r>
        <w:rPr>
          <w:rFonts w:ascii="Times New Roman" w:cs="Times New Roman" w:hAnsi="Times New Roman"/>
          <w:sz w:val="24"/>
          <w:szCs w:val="24"/>
          <w:lang w:val="en-US"/>
        </w:rPr>
        <w:t>recognizes</w:t>
      </w:r>
      <w:r>
        <w:rPr>
          <w:rFonts w:ascii="Times New Roman" w:cs="Times New Roman" w:hAnsi="Times New Roman"/>
          <w:sz w:val="24"/>
          <w:szCs w:val="24"/>
        </w:rPr>
        <w:t xml:space="preserve"> dignity and family life. However, it adopts a plural legal order and this is entangled with customary kinship structures as well as state-by-state differences in implementation of child-rights.</w:t>
      </w:r>
      <w:r>
        <w:rPr>
          <w:rStyle w:val="style38"/>
          <w:rFonts w:ascii="Times New Roman" w:cs="Times New Roman" w:hAnsi="Times New Roman"/>
          <w:sz w:val="24"/>
          <w:szCs w:val="24"/>
        </w:rPr>
        <w:footnoteReference w:id="522"/>
      </w:r>
      <w:r>
        <w:rPr>
          <w:rFonts w:ascii="Times New Roman" w:cs="Times New Roman" w:hAnsi="Times New Roman"/>
          <w:sz w:val="24"/>
          <w:szCs w:val="24"/>
        </w:rPr>
        <w:t xml:space="preserve"> In many Nigerian communities, lineage, blood ties, inheritance, and the circumstances of a child’s birth are significant socially in ways that may complicate surrogacy model based on court confirmation and the intention in commissioning.</w:t>
      </w:r>
      <w:r>
        <w:rPr>
          <w:rStyle w:val="style38"/>
          <w:rFonts w:ascii="Times New Roman" w:cs="Times New Roman" w:hAnsi="Times New Roman"/>
          <w:sz w:val="24"/>
          <w:szCs w:val="24"/>
        </w:rPr>
        <w:footnoteReference w:id="523"/>
      </w:r>
    </w:p>
    <w:p w14:paraId="59D4CBA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Research indicates that childbearing in Nigeria is tied to marital legitimacy, social status, continuity of lineage, and communal expectations, while biological ties remain highly valued; this makes genetic surrogacy, in which the egg is supplied by the intending mother, particularly relevant to questions of lineage continuity and the nature-versus-nurture debate.</w:t>
      </w:r>
      <w:r>
        <w:rPr>
          <w:rStyle w:val="style38"/>
          <w:rFonts w:ascii="Times New Roman" w:cs="Times New Roman" w:hAnsi="Times New Roman"/>
          <w:sz w:val="24"/>
          <w:szCs w:val="24"/>
        </w:rPr>
        <w:footnoteReference w:id="524"/>
      </w:r>
      <w:r>
        <w:rPr>
          <w:rFonts w:ascii="Times New Roman" w:cs="Times New Roman" w:hAnsi="Times New Roman"/>
          <w:sz w:val="24"/>
          <w:szCs w:val="24"/>
        </w:rPr>
        <w:t xml:space="preserve"> More so, there is unease with arrangements that seem to detach motherhood from pregnancy and childbirth. Accordingly, even if the south African model is attractive doctrinally, it may not be well received in Nigeria where the questions of “real” motherhood and family belonging are to be filtered through local kinship expectations and stigma surrounding infertility.</w:t>
      </w:r>
      <w:r>
        <w:rPr>
          <w:rStyle w:val="style38"/>
          <w:rFonts w:ascii="Times New Roman" w:cs="Times New Roman" w:hAnsi="Times New Roman"/>
          <w:sz w:val="24"/>
          <w:szCs w:val="24"/>
        </w:rPr>
        <w:footnoteReference w:id="525"/>
      </w:r>
      <w:r>
        <w:rPr>
          <w:rFonts w:ascii="Times New Roman" w:cs="Times New Roman" w:hAnsi="Times New Roman"/>
          <w:sz w:val="24"/>
          <w:szCs w:val="24"/>
          <w:lang w:val="en-US"/>
        </w:rPr>
        <w:t xml:space="preserve"> The social stigma surrounding infertility and the inability to carry a pregnancy is often directed at the woman, who may be unfairly blamed and regarded as “less” of a woman. Because gestation is sometimes tied to ideas of womanhood and completeness, couples pursuing fertility treatment or surrogacy may conceal their situation from others.</w:t>
      </w:r>
      <w:r>
        <w:rPr>
          <w:rStyle w:val="style38"/>
          <w:rFonts w:ascii="Times New Roman" w:cs="Times New Roman" w:hAnsi="Times New Roman"/>
          <w:sz w:val="24"/>
          <w:szCs w:val="24"/>
          <w:lang w:val="en-US"/>
        </w:rPr>
        <w:footnoteReference w:id="526"/>
      </w:r>
      <w:r>
        <w:rPr>
          <w:rFonts w:ascii="Times New Roman" w:cs="Times New Roman" w:hAnsi="Times New Roman"/>
          <w:sz w:val="24"/>
          <w:szCs w:val="24"/>
          <w:lang w:val="en-US"/>
        </w:rPr>
        <w:t xml:space="preserve"> A woman associated with infertility may be accused of having gone through abortion, witchcraft or being promiscuous in her youth. Women are the center of discussion when talking about infertility and little or no attention is giving to male infertility.</w:t>
      </w:r>
      <w:r>
        <w:rPr>
          <w:rStyle w:val="style38"/>
          <w:rFonts w:ascii="Times New Roman" w:cs="Times New Roman" w:hAnsi="Times New Roman"/>
          <w:sz w:val="24"/>
          <w:szCs w:val="24"/>
          <w:lang w:val="en-US"/>
        </w:rPr>
        <w:footnoteReference w:id="527"/>
      </w:r>
      <w:r>
        <w:rPr>
          <w:rFonts w:ascii="Times New Roman" w:cs="Times New Roman" w:hAnsi="Times New Roman"/>
          <w:sz w:val="24"/>
          <w:szCs w:val="24"/>
        </w:rPr>
        <w:t xml:space="preserve">There are also differences in secrecy and disclosure is handled. South African law protects parties and children explicitly in surrogacy proceedings. Even so, in Nigeria, there is more secrecy around infertility and non-conventional parentage, partly because of stigma. This means that a confidentiality rule alone may not be enough in Nigeria. In other words, the same legal text may function differently where the surrounding social context is different. The customs of inheritance create another difference. </w:t>
      </w:r>
      <w:r>
        <w:rPr>
          <w:rFonts w:ascii="Times New Roman" w:cs="Times New Roman" w:hAnsi="Times New Roman"/>
          <w:i/>
          <w:iCs/>
          <w:sz w:val="24"/>
          <w:szCs w:val="24"/>
        </w:rPr>
        <w:t xml:space="preserve">South African Chapter 19 </w:t>
      </w:r>
      <w:r>
        <w:rPr>
          <w:rFonts w:ascii="Times New Roman" w:cs="Times New Roman" w:hAnsi="Times New Roman"/>
          <w:sz w:val="24"/>
          <w:szCs w:val="24"/>
        </w:rPr>
        <w:t>addresses succession by stating that the child has no succession claim against the surrogate mother or her family in a valid arrangement.  On the other hand, in Nigeria, succession operate across statutory, customary, and religious frameworks. Hence, disputes over lineage may be more complicated. A surrogacy rule may collide with customs about descent and family in when it reallocates parentage in formal statutory language.</w:t>
      </w:r>
      <w:r>
        <w:rPr>
          <w:rStyle w:val="style38"/>
          <w:rFonts w:ascii="Times New Roman" w:cs="Times New Roman" w:hAnsi="Times New Roman"/>
          <w:sz w:val="24"/>
          <w:szCs w:val="24"/>
        </w:rPr>
        <w:footnoteReference w:id="528"/>
      </w:r>
    </w:p>
    <w:p w14:paraId="44D63202">
      <w:pPr>
        <w:pStyle w:val="style4"/>
        <w:rPr/>
      </w:pPr>
      <w:r>
        <w:t xml:space="preserve">3.1.4.4 </w:t>
      </w:r>
      <w:r>
        <w:tab/>
      </w:r>
      <w:r>
        <w:t>Limits of Transplanting Foreign Surrogacy Rules into Nigeria</w:t>
      </w:r>
    </w:p>
    <w:p w14:paraId="5B658A91">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jurisprudential issue here is the problem of </w:t>
      </w:r>
      <w:r>
        <w:rPr>
          <w:rStyle w:val="style87"/>
          <w:rFonts w:ascii="Times New Roman" w:cs="Times New Roman" w:hAnsi="Times New Roman"/>
          <w:b w:val="false"/>
          <w:sz w:val="24"/>
          <w:szCs w:val="24"/>
        </w:rPr>
        <w:t>legal transplants</w:t>
      </w:r>
      <w:r>
        <w:rPr>
          <w:rFonts w:ascii="Times New Roman" w:cs="Times New Roman" w:hAnsi="Times New Roman"/>
          <w:sz w:val="24"/>
          <w:szCs w:val="24"/>
        </w:rPr>
        <w:t>. The laws borrowed from one jurisdiction may not work in the same way in another because the success of a statute depends on its wordings as well its social foundations and institutional capacity. A study was conducted on the “transplant effect” and “transplant shock” and it was found that borrowed rules may produce unintended consequences where there is poor fit between the borrowed norm and the receiving society.</w:t>
      </w:r>
      <w:r>
        <w:rPr>
          <w:rStyle w:val="style38"/>
          <w:rFonts w:ascii="Times New Roman" w:cs="Times New Roman" w:hAnsi="Times New Roman"/>
          <w:sz w:val="24"/>
          <w:szCs w:val="24"/>
        </w:rPr>
        <w:footnoteReference w:id="529"/>
      </w:r>
      <w:r>
        <w:rPr>
          <w:rFonts w:ascii="Times New Roman" w:cs="Times New Roman" w:hAnsi="Times New Roman"/>
          <w:sz w:val="24"/>
          <w:szCs w:val="24"/>
        </w:rPr>
        <w:t xml:space="preserve"> This is applicable in family law, where legal rules interact with identity, morality, kinship, inheritance, and child status. Yet copying such provisions verbatim without adjustment may fail where customary law in Nigeria and administrative realities differ. Scholars warns that culture, religion, and geopolitics shape reproductive governance in ways that cannot be ignored. In that sense, the real danger is uncritical transplantation.</w:t>
      </w:r>
      <w:r>
        <w:rPr>
          <w:rStyle w:val="style38"/>
          <w:rFonts w:ascii="Times New Roman" w:cs="Times New Roman" w:hAnsi="Times New Roman"/>
          <w:sz w:val="24"/>
          <w:szCs w:val="24"/>
        </w:rPr>
        <w:footnoteReference w:id="530"/>
      </w:r>
      <w:r>
        <w:rPr>
          <w:rFonts w:ascii="Times New Roman" w:cs="Times New Roman" w:hAnsi="Times New Roman"/>
          <w:sz w:val="24"/>
          <w:szCs w:val="24"/>
        </w:rPr>
        <w:t xml:space="preserve"> A brief look at other Nigerian legal experiences supports this caution. For example, even when the content of a legal instrument is attractive normatively, implementation can be uneven because Nigeria has a plural legal order. More so, the conceptions of childhood often differs.</w:t>
      </w:r>
      <w:r>
        <w:rPr>
          <w:rStyle w:val="style38"/>
          <w:rFonts w:ascii="Times New Roman" w:cs="Times New Roman" w:hAnsi="Times New Roman"/>
          <w:sz w:val="24"/>
          <w:szCs w:val="24"/>
        </w:rPr>
        <w:footnoteReference w:id="531"/>
      </w:r>
      <w:r>
        <w:rPr>
          <w:rFonts w:ascii="Times New Roman" w:cs="Times New Roman" w:hAnsi="Times New Roman"/>
          <w:sz w:val="24"/>
          <w:szCs w:val="24"/>
        </w:rPr>
        <w:t xml:space="preserve"> This complicates reception and uniform adoption.</w:t>
      </w:r>
    </w:p>
    <w:bookmarkStart w:id="72" w:name="_Toc233678277"/>
    <w:p w14:paraId="72457140">
      <w:pPr>
        <w:pStyle w:val="style2"/>
        <w:rPr/>
      </w:pPr>
      <w:r>
        <w:t xml:space="preserve">3.2 </w:t>
      </w:r>
      <w:r>
        <w:tab/>
      </w:r>
      <w:r>
        <w:t>Institutional Framework on Parentage in Surrogacy and ART in Nigeria</w:t>
      </w:r>
      <w:bookmarkEnd w:id="72"/>
    </w:p>
    <w:p w14:paraId="5C7845F5">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This section discusses the institutional framework on Parentage in Surrogacy and A</w:t>
      </w:r>
      <w:r>
        <w:rPr>
          <w:rFonts w:ascii="Times New Roman" w:cs="Times New Roman" w:hAnsi="Times New Roman"/>
          <w:sz w:val="24"/>
          <w:szCs w:val="24"/>
          <w:lang w:val="en-US"/>
        </w:rPr>
        <w:t>RT</w:t>
      </w:r>
      <w:r>
        <w:rPr>
          <w:rFonts w:ascii="Times New Roman" w:cs="Times New Roman" w:hAnsi="Times New Roman"/>
          <w:sz w:val="24"/>
          <w:szCs w:val="24"/>
        </w:rPr>
        <w:t xml:space="preserve"> in Nigeria. In Nigeria, the institutional framework is fragmented in the same way as the legislation. The problem is that no single </w:t>
      </w:r>
      <w:r>
        <w:rPr>
          <w:rFonts w:ascii="Times New Roman" w:cs="Times New Roman" w:hAnsi="Times New Roman"/>
          <w:sz w:val="24"/>
          <w:szCs w:val="24"/>
          <w:lang w:val="en-US"/>
        </w:rPr>
        <w:t>specialized</w:t>
      </w:r>
      <w:r>
        <w:rPr>
          <w:rFonts w:ascii="Times New Roman" w:cs="Times New Roman" w:hAnsi="Times New Roman"/>
          <w:sz w:val="24"/>
          <w:szCs w:val="24"/>
        </w:rPr>
        <w:t xml:space="preserve"> authority coordinates surrogacy and ART. </w:t>
      </w:r>
    </w:p>
    <w:bookmarkStart w:id="73" w:name="_Toc233678278"/>
    <w:p w14:paraId="5A7D6D5C">
      <w:pPr>
        <w:pStyle w:val="style3"/>
        <w:rPr/>
      </w:pPr>
      <w:r>
        <w:t xml:space="preserve">3.2.1 </w:t>
      </w:r>
      <w:r>
        <w:tab/>
      </w:r>
      <w:r>
        <w:t>Core Municipal Institutions on Parentage in Surrogacy and ART in Nigeria</w:t>
      </w:r>
      <w:bookmarkEnd w:id="73"/>
    </w:p>
    <w:p w14:paraId="2822ADA0">
      <w:pPr>
        <w:pStyle w:val="style4"/>
        <w:rPr/>
      </w:pPr>
      <w:r>
        <w:t xml:space="preserve">3.2.1.1 </w:t>
      </w:r>
      <w:r>
        <w:tab/>
      </w:r>
      <w:r>
        <w:t>National and State Houses of Assembly</w:t>
      </w:r>
    </w:p>
    <w:p w14:paraId="7B8083F7">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The National Assembly is responsible for enacting a comprehensive federal framework on surrogacy, ART and parentage, while State Houses of Assembly may legislate on matters within their constitutional competence. Nigeria's principal institutional deficiency is the absence of clear legislation on legal parentage, eligibility, consent, registration and remedies, leaving other institutions to operate reactively. Although the House of Representatives conducted the first reading of the </w:t>
      </w:r>
      <w:r>
        <w:rPr>
          <w:rFonts w:ascii="Times New Roman" w:cs="Times New Roman" w:hAnsi="Times New Roman"/>
          <w:i/>
          <w:iCs/>
          <w:sz w:val="24"/>
          <w:szCs w:val="24"/>
          <w:lang w:val="en-US"/>
        </w:rPr>
        <w:t>Women's Health and Surrogacy Protection Bill, 2025,</w:t>
      </w:r>
      <w:r>
        <w:rPr>
          <w:rFonts w:ascii="Times New Roman" w:cs="Times New Roman" w:hAnsi="Times New Roman"/>
          <w:sz w:val="24"/>
          <w:szCs w:val="24"/>
          <w:lang w:val="en-US"/>
        </w:rPr>
        <w:t xml:space="preserve"> it has not yet become law.</w:t>
      </w:r>
      <w:r>
        <w:rPr>
          <w:rStyle w:val="style38"/>
          <w:rFonts w:ascii="Times New Roman" w:cs="Times New Roman" w:hAnsi="Times New Roman"/>
          <w:sz w:val="24"/>
          <w:szCs w:val="24"/>
        </w:rPr>
        <w:footnoteReference w:id="532"/>
      </w:r>
      <w:r>
        <w:rPr>
          <w:rFonts w:ascii="Times New Roman" w:cs="Times New Roman" w:hAnsi="Times New Roman"/>
          <w:sz w:val="24"/>
          <w:szCs w:val="24"/>
          <w:lang w:val="en-US"/>
        </w:rPr>
        <w:t xml:space="preserve"> Legislative reform therefore remains fundamental.</w:t>
      </w:r>
    </w:p>
    <w:p w14:paraId="7C9B1C1F">
      <w:pPr>
        <w:pStyle w:val="style4"/>
        <w:rPr/>
      </w:pPr>
      <w:r>
        <w:t xml:space="preserve">3.2.1.2 </w:t>
      </w:r>
      <w:r>
        <w:tab/>
      </w:r>
      <w:r>
        <w:t>Federal and State Ministries of Health</w:t>
      </w:r>
    </w:p>
    <w:p w14:paraId="1D4CFF9F">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ART is delivered through the healthcare system. Accordingly, the Federal and State Ministries of Health influence licensing, standards and regulatory oversight. Lagos State's 2019 ART Regulations attempt to address the federal gap, but regulatory protection remains uneven across Nigeria.</w:t>
      </w:r>
      <w:r>
        <w:rPr>
          <w:rStyle w:val="style38"/>
          <w:rFonts w:ascii="Times New Roman" w:cs="Times New Roman" w:hAnsi="Times New Roman"/>
          <w:sz w:val="24"/>
          <w:szCs w:val="24"/>
        </w:rPr>
        <w:footnoteReference w:id="533"/>
      </w:r>
      <w:r>
        <w:rPr>
          <w:rFonts w:ascii="Times New Roman" w:cs="Times New Roman" w:hAnsi="Times New Roman"/>
          <w:sz w:val="24"/>
          <w:szCs w:val="24"/>
        </w:rPr>
        <w:t xml:space="preserve">  Since parentage affects birth registration, identity and succession nationwide, fragmented state regulation encourages forum shopping and unequal protection.</w:t>
      </w:r>
      <w:r>
        <w:rPr>
          <w:rStyle w:val="style38"/>
          <w:rFonts w:ascii="Times New Roman" w:cs="Times New Roman" w:hAnsi="Times New Roman"/>
          <w:sz w:val="24"/>
          <w:szCs w:val="24"/>
        </w:rPr>
        <w:footnoteReference w:id="534"/>
      </w:r>
    </w:p>
    <w:p w14:paraId="19E97D58">
      <w:pPr>
        <w:pStyle w:val="style4"/>
        <w:rPr/>
      </w:pPr>
      <w:r>
        <w:t xml:space="preserve">3.2.1.3 </w:t>
      </w:r>
      <w:r>
        <w:tab/>
      </w:r>
      <w:r>
        <w:t>Medical and Dental Council of Nigeria (MDCN)</w:t>
      </w:r>
    </w:p>
    <w:p w14:paraId="75A9045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MDCN regulates medical practice, professional training and discipline.</w:t>
      </w:r>
      <w:r>
        <w:rPr>
          <w:rStyle w:val="style38"/>
          <w:rFonts w:ascii="Times New Roman" w:cs="Times New Roman" w:hAnsi="Times New Roman"/>
          <w:sz w:val="24"/>
          <w:szCs w:val="24"/>
        </w:rPr>
        <w:footnoteReference w:id="535"/>
      </w:r>
      <w:r>
        <w:rPr>
          <w:rFonts w:ascii="Times New Roman" w:cs="Times New Roman" w:hAnsi="Times New Roman"/>
          <w:sz w:val="24"/>
          <w:szCs w:val="24"/>
        </w:rPr>
        <w:t xml:space="preserve"> Although it may investigate misconduct arising from ART and surrogacy, its regulatory role is limited to professional standards. It cannot determine legal parentage or confer legal motherhood or fatherhood.</w:t>
      </w:r>
      <w:r>
        <w:rPr>
          <w:rStyle w:val="style38"/>
          <w:rFonts w:ascii="Times New Roman" w:cs="Times New Roman" w:hAnsi="Times New Roman"/>
          <w:sz w:val="24"/>
          <w:szCs w:val="24"/>
        </w:rPr>
        <w:footnoteReference w:id="536"/>
      </w:r>
    </w:p>
    <w:p w14:paraId="3B5F746A">
      <w:pPr>
        <w:pStyle w:val="style4"/>
        <w:rPr/>
      </w:pPr>
      <w:r>
        <w:t xml:space="preserve">3.2.1.4 </w:t>
      </w:r>
      <w:r>
        <w:tab/>
      </w:r>
      <w:r>
        <w:t>National Health Research Ethics Committee (NHREC)</w:t>
      </w:r>
    </w:p>
    <w:p w14:paraId="38A30BA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NHREC oversees ethics in health research and becomes relevant where ART involves research, experimental procedures or sensitive reproductive protocols.</w:t>
      </w:r>
      <w:r>
        <w:rPr>
          <w:rStyle w:val="style38"/>
          <w:rFonts w:ascii="Times New Roman" w:cs="Times New Roman" w:hAnsi="Times New Roman"/>
          <w:sz w:val="24"/>
          <w:szCs w:val="24"/>
        </w:rPr>
        <w:footnoteReference w:id="537"/>
      </w:r>
      <w:r>
        <w:rPr>
          <w:rFonts w:ascii="Times New Roman" w:cs="Times New Roman" w:hAnsi="Times New Roman"/>
          <w:sz w:val="24"/>
          <w:szCs w:val="24"/>
        </w:rPr>
        <w:t xml:space="preserve"> However, routine surrogacy and fertility treatment fall outside its regulatory mandate and it is not a general surrogacy regulator.</w:t>
      </w:r>
      <w:r>
        <w:rPr>
          <w:rStyle w:val="style38"/>
          <w:rFonts w:ascii="Times New Roman" w:cs="Times New Roman" w:hAnsi="Times New Roman"/>
          <w:sz w:val="24"/>
          <w:szCs w:val="24"/>
        </w:rPr>
        <w:footnoteReference w:id="538"/>
      </w:r>
    </w:p>
    <w:p w14:paraId="7331A778">
      <w:pPr>
        <w:pStyle w:val="style4"/>
        <w:rPr/>
      </w:pPr>
      <w:r>
        <w:t xml:space="preserve">3.2.1.5 </w:t>
      </w:r>
      <w:r>
        <w:tab/>
      </w:r>
      <w:r>
        <w:t>Health Research Ethics Committees of Hospitals and Institutions</w:t>
      </w:r>
    </w:p>
    <w:p w14:paraId="32B2D44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Institutional ethics committees review research protocols and protect participants. Within ART they promote informed consent, confidentiality and ethical accountability.</w:t>
      </w:r>
      <w:r>
        <w:rPr>
          <w:rStyle w:val="style38"/>
          <w:rFonts w:ascii="Times New Roman" w:cs="Times New Roman" w:hAnsi="Times New Roman"/>
          <w:sz w:val="24"/>
          <w:szCs w:val="24"/>
        </w:rPr>
        <w:footnoteReference w:id="539"/>
      </w:r>
      <w:r>
        <w:rPr>
          <w:rFonts w:ascii="Times New Roman" w:cs="Times New Roman" w:hAnsi="Times New Roman"/>
          <w:sz w:val="24"/>
          <w:szCs w:val="24"/>
        </w:rPr>
        <w:t xml:space="preserve"> However, they do not determine legal parentage or civil status, making legal reform indispensable.</w:t>
      </w:r>
      <w:r>
        <w:rPr>
          <w:rStyle w:val="style38"/>
          <w:rFonts w:ascii="Times New Roman" w:cs="Times New Roman" w:hAnsi="Times New Roman"/>
          <w:sz w:val="24"/>
          <w:szCs w:val="24"/>
        </w:rPr>
        <w:footnoteReference w:id="540"/>
      </w:r>
    </w:p>
    <w:p w14:paraId="08F43CCB">
      <w:pPr>
        <w:pStyle w:val="style4"/>
        <w:rPr/>
      </w:pPr>
      <w:r>
        <w:t xml:space="preserve">3.2.1.6 </w:t>
      </w:r>
      <w:r>
        <w:tab/>
      </w:r>
      <w:r>
        <w:t>National Population Commission (NPC)</w:t>
      </w:r>
    </w:p>
    <w:p w14:paraId="063FB69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NPC is one of the most important institutions in this field because it establishes and maintains the machinery for continuous and universal birth and death registration in Nigeria. The statutory functions of the commission include maintaining the system for birth-registration. As the body that issues or oversees formal birth-registration processes, it sits at the front line of legal identity formation.</w:t>
      </w:r>
      <w:r>
        <w:rPr>
          <w:rStyle w:val="style38"/>
          <w:rFonts w:ascii="Times New Roman" w:cs="Times New Roman" w:hAnsi="Times New Roman"/>
          <w:sz w:val="24"/>
          <w:szCs w:val="24"/>
        </w:rPr>
        <w:footnoteReference w:id="541"/>
      </w:r>
      <w:r>
        <w:rPr>
          <w:rFonts w:ascii="Times New Roman" w:cs="Times New Roman" w:hAnsi="Times New Roman"/>
          <w:sz w:val="24"/>
          <w:szCs w:val="24"/>
        </w:rPr>
        <w:t xml:space="preserve"> Because legal identity begins with birth registration, uncertainties regarding parentage in surrogacy may be reproduced administratively where existing procedures assume traditional parent-child relationships.</w:t>
      </w:r>
      <w:r>
        <w:rPr>
          <w:rStyle w:val="style38"/>
          <w:rFonts w:ascii="Times New Roman" w:cs="Times New Roman" w:hAnsi="Times New Roman"/>
          <w:sz w:val="24"/>
          <w:szCs w:val="24"/>
        </w:rPr>
        <w:footnoteReference w:id="542"/>
      </w:r>
    </w:p>
    <w:p w14:paraId="2878F4AA">
      <w:pPr>
        <w:pStyle w:val="style4"/>
        <w:rPr/>
      </w:pPr>
      <w:r>
        <w:t xml:space="preserve">3.2.1.7 </w:t>
      </w:r>
      <w:r>
        <w:tab/>
      </w:r>
      <w:r>
        <w:t>National Identity Management Commission (NIMC)</w:t>
      </w:r>
    </w:p>
    <w:p w14:paraId="3068EDE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NIMC maintains the National Identity Database and relies on civil-status information generated during birth registration.</w:t>
      </w:r>
      <w:r>
        <w:rPr>
          <w:rStyle w:val="style38"/>
          <w:rFonts w:ascii="Times New Roman" w:cs="Times New Roman" w:hAnsi="Times New Roman"/>
          <w:sz w:val="24"/>
          <w:szCs w:val="24"/>
        </w:rPr>
        <w:footnoteReference w:id="543"/>
      </w:r>
      <w:r>
        <w:rPr>
          <w:rFonts w:ascii="Times New Roman" w:cs="Times New Roman" w:hAnsi="Times New Roman"/>
          <w:sz w:val="24"/>
          <w:szCs w:val="24"/>
        </w:rPr>
        <w:t xml:space="preserve"> Consequently, uncertainty regarding legal parentage at registration may continue throughout the national identity system, highlighting the need for institutional coordination.</w:t>
      </w:r>
    </w:p>
    <w:p w14:paraId="78D89402">
      <w:pPr>
        <w:pStyle w:val="style4"/>
        <w:rPr/>
      </w:pPr>
      <w:r>
        <w:t xml:space="preserve">3.2.1.8 </w:t>
      </w:r>
      <w:r>
        <w:tab/>
      </w:r>
      <w:r>
        <w:t>The Court</w:t>
      </w:r>
    </w:p>
    <w:p w14:paraId="3554062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the absence of comprehensive legislation, Nigerian courts interpret constitutional principles and evidential presumptions to resolve disputes concerning ART and surrogacy.</w:t>
      </w:r>
      <w:r>
        <w:rPr>
          <w:rStyle w:val="style38"/>
          <w:rFonts w:ascii="Times New Roman" w:cs="Times New Roman" w:hAnsi="Times New Roman"/>
          <w:sz w:val="24"/>
          <w:szCs w:val="24"/>
        </w:rPr>
        <w:footnoteReference w:id="544"/>
      </w:r>
      <w:r>
        <w:rPr>
          <w:rFonts w:ascii="Times New Roman" w:cs="Times New Roman" w:hAnsi="Times New Roman"/>
          <w:sz w:val="24"/>
          <w:szCs w:val="24"/>
        </w:rPr>
        <w:t xml:space="preserve"> Nigerian courts have exhibited judiciary creativity in adjacent fields. In </w:t>
      </w:r>
      <w:r>
        <w:rPr>
          <w:rStyle w:val="style87"/>
          <w:rFonts w:ascii="Times New Roman" w:cs="Times New Roman" w:hAnsi="Times New Roman"/>
          <w:b w:val="false"/>
          <w:i/>
          <w:iCs/>
          <w:sz w:val="24"/>
          <w:szCs w:val="24"/>
        </w:rPr>
        <w:t>Williams v Williams</w:t>
      </w:r>
      <w:r>
        <w:rPr>
          <w:rStyle w:val="style87"/>
          <w:rFonts w:ascii="Times New Roman" w:cs="Times New Roman" w:hAnsi="Times New Roman"/>
          <w:b w:val="false"/>
          <w:sz w:val="24"/>
          <w:szCs w:val="24"/>
        </w:rPr>
        <w:t>,</w:t>
      </w:r>
      <w:r>
        <w:rPr>
          <w:rStyle w:val="style38"/>
          <w:rFonts w:ascii="Times New Roman" w:cs="Times New Roman" w:hAnsi="Times New Roman"/>
          <w:bCs/>
          <w:sz w:val="24"/>
          <w:szCs w:val="24"/>
        </w:rPr>
        <w:footnoteReference w:id="545"/>
      </w:r>
      <w:r>
        <w:rPr>
          <w:rStyle w:val="style87"/>
          <w:rFonts w:ascii="Times New Roman" w:cs="Times New Roman" w:hAnsi="Times New Roman"/>
          <w:b w:val="false"/>
          <w:sz w:val="24"/>
          <w:szCs w:val="24"/>
        </w:rPr>
        <w:t xml:space="preserve"> the court</w:t>
      </w:r>
      <w:r>
        <w:rPr>
          <w:rFonts w:ascii="Times New Roman" w:cs="Times New Roman" w:hAnsi="Times New Roman"/>
          <w:sz w:val="24"/>
          <w:szCs w:val="24"/>
        </w:rPr>
        <w:t xml:space="preserve"> foregrounded welfare. In </w:t>
      </w:r>
      <w:r>
        <w:rPr>
          <w:rStyle w:val="style87"/>
          <w:rFonts w:ascii="Times New Roman" w:cs="Times New Roman" w:hAnsi="Times New Roman"/>
          <w:b w:val="false"/>
          <w:i/>
          <w:iCs/>
          <w:sz w:val="24"/>
          <w:szCs w:val="24"/>
        </w:rPr>
        <w:t>Ukeje v Ukeje</w:t>
      </w:r>
      <w:r>
        <w:rPr>
          <w:rStyle w:val="style38"/>
          <w:rFonts w:ascii="Times New Roman" w:cs="Times New Roman" w:hAnsi="Times New Roman"/>
          <w:bCs/>
          <w:sz w:val="24"/>
          <w:szCs w:val="24"/>
        </w:rPr>
        <w:footnoteReference w:id="546"/>
      </w:r>
      <w:r>
        <w:rPr>
          <w:rFonts w:ascii="Times New Roman" w:cs="Times New Roman" w:hAnsi="Times New Roman"/>
          <w:sz w:val="24"/>
          <w:szCs w:val="24"/>
        </w:rPr>
        <w:t xml:space="preserve"> and </w:t>
      </w:r>
      <w:r>
        <w:rPr>
          <w:rStyle w:val="style87"/>
          <w:rFonts w:ascii="Times New Roman" w:cs="Times New Roman" w:hAnsi="Times New Roman"/>
          <w:b w:val="false"/>
          <w:i/>
          <w:iCs/>
          <w:sz w:val="24"/>
          <w:szCs w:val="24"/>
        </w:rPr>
        <w:t>Mojekwu v Mojekwu,</w:t>
      </w:r>
      <w:r>
        <w:rPr>
          <w:rStyle w:val="style38"/>
          <w:rFonts w:ascii="Times New Roman" w:cs="Times New Roman" w:hAnsi="Times New Roman"/>
          <w:bCs/>
          <w:sz w:val="24"/>
          <w:szCs w:val="24"/>
        </w:rPr>
        <w:footnoteReference w:id="547"/>
      </w:r>
      <w:r>
        <w:rPr>
          <w:rStyle w:val="style87"/>
          <w:rFonts w:ascii="Times New Roman" w:cs="Times New Roman" w:hAnsi="Times New Roman"/>
          <w:b w:val="false"/>
          <w:sz w:val="24"/>
          <w:szCs w:val="24"/>
        </w:rPr>
        <w:t xml:space="preserve"> the court</w:t>
      </w:r>
      <w:r>
        <w:rPr>
          <w:rFonts w:ascii="Times New Roman" w:cs="Times New Roman" w:hAnsi="Times New Roman"/>
          <w:sz w:val="24"/>
          <w:szCs w:val="24"/>
        </w:rPr>
        <w:t xml:space="preserve"> rejected discriminatory family rules. In </w:t>
      </w:r>
      <w:r>
        <w:rPr>
          <w:rStyle w:val="style87"/>
          <w:rFonts w:ascii="Times New Roman" w:cs="Times New Roman" w:hAnsi="Times New Roman"/>
          <w:b w:val="false"/>
          <w:i/>
          <w:iCs/>
          <w:sz w:val="24"/>
          <w:szCs w:val="24"/>
        </w:rPr>
        <w:t>Tony Anozia v Patricia Okwunwa Nnani,</w:t>
      </w:r>
      <w:r>
        <w:rPr>
          <w:rStyle w:val="style38"/>
          <w:rFonts w:ascii="Times New Roman" w:cs="Times New Roman" w:hAnsi="Times New Roman"/>
          <w:bCs/>
          <w:sz w:val="24"/>
          <w:szCs w:val="24"/>
        </w:rPr>
        <w:footnoteReference w:id="548"/>
      </w:r>
      <w:r>
        <w:rPr>
          <w:rStyle w:val="style87"/>
          <w:rFonts w:ascii="Times New Roman" w:cs="Times New Roman" w:hAnsi="Times New Roman"/>
          <w:b w:val="false"/>
          <w:sz w:val="24"/>
          <w:szCs w:val="24"/>
        </w:rPr>
        <w:t xml:space="preserve"> the judiciary adopted </w:t>
      </w:r>
      <w:r>
        <w:rPr>
          <w:rFonts w:ascii="Times New Roman" w:cs="Times New Roman" w:hAnsi="Times New Roman"/>
          <w:sz w:val="24"/>
          <w:szCs w:val="24"/>
        </w:rPr>
        <w:t>biological proof and privacy.  These show that courts may reduce injustice.Nevertheless, litigation remains reactive, piecemeal and an inadequate substitute for legislative reform.</w:t>
      </w:r>
    </w:p>
    <w:bookmarkStart w:id="74" w:name="_Toc233678279"/>
    <w:p w14:paraId="7A79FBDE">
      <w:pPr>
        <w:pStyle w:val="style3"/>
        <w:rPr/>
      </w:pPr>
      <w:r>
        <w:t xml:space="preserve">3.2.2 </w:t>
      </w:r>
      <w:r>
        <w:tab/>
      </w:r>
      <w:r>
        <w:t>Core International Institutions on Parentage in Surrogacy and ART in Nigeria</w:t>
      </w:r>
      <w:bookmarkEnd w:id="74"/>
    </w:p>
    <w:p w14:paraId="2B397479">
      <w:pPr>
        <w:pStyle w:val="style4"/>
        <w:rPr/>
      </w:pPr>
      <w:r>
        <w:t xml:space="preserve">3.2.2.1 </w:t>
      </w:r>
      <w:r>
        <w:tab/>
      </w:r>
      <w:r>
        <w:t>United Nations</w:t>
      </w:r>
    </w:p>
    <w:p w14:paraId="241DEFC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UN provides the overarching framework through which child rights, family life, privacy, and health norms are articulated. For Nigeria, the UN is not a direct adjudicator of parentage. Rather, it only sets the norm and monitor structures.  In addition, it shapes the standards against which domestic practice is measured.</w:t>
      </w:r>
      <w:r>
        <w:rPr>
          <w:rStyle w:val="style38"/>
          <w:rFonts w:ascii="Times New Roman" w:cs="Times New Roman" w:hAnsi="Times New Roman"/>
          <w:sz w:val="24"/>
          <w:szCs w:val="24"/>
        </w:rPr>
        <w:footnoteReference w:id="549"/>
      </w:r>
    </w:p>
    <w:p w14:paraId="69993F70">
      <w:pPr>
        <w:pStyle w:val="style4"/>
        <w:rPr/>
      </w:pPr>
      <w:r>
        <w:t xml:space="preserve">3.2.2.2 </w:t>
      </w:r>
      <w:r>
        <w:tab/>
      </w:r>
      <w:r>
        <w:t>United Nations Children's Fund</w:t>
      </w:r>
    </w:p>
    <w:p w14:paraId="1E0E7C93">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UNICEF supports birth registration and the protection of children's rights, both of which are central to legal identity in surrogacy and ART.</w:t>
      </w:r>
      <w:r>
        <w:rPr>
          <w:rStyle w:val="style38"/>
          <w:rFonts w:ascii="Times New Roman" w:cs="Times New Roman" w:hAnsi="Times New Roman"/>
          <w:sz w:val="24"/>
          <w:szCs w:val="24"/>
        </w:rPr>
        <w:footnoteReference w:id="550"/>
      </w:r>
    </w:p>
    <w:p w14:paraId="4805F7B0">
      <w:pPr>
        <w:pStyle w:val="style4"/>
        <w:rPr/>
      </w:pPr>
      <w:r>
        <w:t xml:space="preserve">3.2.2.3 </w:t>
      </w:r>
      <w:r>
        <w:tab/>
      </w:r>
      <w:r>
        <w:t>United Nations Human Rights Committee (UNHRC)</w:t>
      </w:r>
    </w:p>
    <w:p w14:paraId="6028BAAF">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Human Rights Committee monitors the ICCPR and it is important for norms concerning privacy, family, equality, and child protection under articles 17, 23, and 24. Its significance for Nigeria lies in interpretive influence and accountability rather than direct civil-status adjudication. </w:t>
      </w:r>
    </w:p>
    <w:p w14:paraId="078830BF">
      <w:pPr>
        <w:pStyle w:val="style4"/>
        <w:rPr>
          <w:lang w:val="en-US"/>
        </w:rPr>
      </w:pPr>
      <w:r>
        <w:t xml:space="preserve">3.2.2.4 </w:t>
      </w:r>
      <w:r>
        <w:tab/>
      </w:r>
      <w:r>
        <w:t>Committee on the Rights of the Child</w:t>
      </w:r>
    </w:p>
    <w:p w14:paraId="1C88881C">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This Committee monitors implementation of the CRC and is relevant because the most immediate harms of parentage under ART concern best interests, registration, nationality, and care. This institution keeps domestic systems focused on the child, not adult controversy.</w:t>
      </w:r>
      <w:r>
        <w:rPr>
          <w:rStyle w:val="style38"/>
          <w:rFonts w:ascii="Times New Roman" w:cs="Times New Roman" w:hAnsi="Times New Roman"/>
          <w:sz w:val="24"/>
          <w:szCs w:val="24"/>
        </w:rPr>
        <w:footnoteReference w:id="551"/>
      </w:r>
    </w:p>
    <w:p w14:paraId="7B5A8C9B">
      <w:pPr>
        <w:pStyle w:val="style4"/>
        <w:rPr/>
      </w:pPr>
      <w:r>
        <w:t xml:space="preserve">3.2.2.5 </w:t>
      </w:r>
      <w:r>
        <w:tab/>
      </w:r>
      <w:r>
        <w:t>African Union</w:t>
      </w:r>
    </w:p>
    <w:p w14:paraId="07616CB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AU is significant because it houses the regional treaty framework most attuned to child-rights and family-law realities in Africa through the ACRWC and African Charter system. It provides regional legitimacy for reforms that resist discrimination. It also protects child’s right.</w:t>
      </w:r>
      <w:r>
        <w:rPr>
          <w:rStyle w:val="style38"/>
          <w:rFonts w:ascii="Times New Roman" w:cs="Times New Roman" w:hAnsi="Times New Roman"/>
          <w:sz w:val="24"/>
          <w:szCs w:val="24"/>
        </w:rPr>
        <w:footnoteReference w:id="552"/>
      </w:r>
    </w:p>
    <w:p w14:paraId="008E473B">
      <w:pPr>
        <w:pStyle w:val="style4"/>
        <w:rPr/>
      </w:pPr>
      <w:r>
        <w:t xml:space="preserve">3.2.2.6 </w:t>
      </w:r>
      <w:r>
        <w:tab/>
      </w:r>
      <w:r>
        <w:t>African Committee of Experts on the Rights and Welfare of the Child</w:t>
      </w:r>
    </w:p>
    <w:p w14:paraId="3D1F39AF">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This Committee monitors the ACRWC and it is relevant to Nigeria because the Charter addresses registration, nationality, privacy, non-discrimination, and parental responsibilities in a child-specific African framework.</w:t>
      </w:r>
      <w:r>
        <w:rPr>
          <w:rStyle w:val="style38"/>
          <w:rFonts w:ascii="Times New Roman" w:cs="Times New Roman" w:hAnsi="Times New Roman"/>
          <w:sz w:val="24"/>
          <w:szCs w:val="24"/>
        </w:rPr>
        <w:footnoteReference w:id="553"/>
      </w:r>
    </w:p>
    <w:p w14:paraId="33FBA7EB">
      <w:pPr>
        <w:pStyle w:val="style4"/>
        <w:rPr/>
      </w:pPr>
      <w:r>
        <w:t xml:space="preserve">3.2.2.7 </w:t>
      </w:r>
      <w:r>
        <w:tab/>
      </w:r>
      <w:r>
        <w:t>African Commission on Human and Peoples’ Rights</w:t>
      </w:r>
    </w:p>
    <w:p w14:paraId="43F9E90F">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African Commission is significant because of its human-rights mandate under the African Charter around equality, dignity, family protection, and women’s rights. These intersect with the risks of exploitation and status inequality inherent in surrogacy.</w:t>
      </w:r>
      <w:r>
        <w:rPr>
          <w:rStyle w:val="style38"/>
          <w:rFonts w:ascii="Times New Roman" w:cs="Times New Roman" w:hAnsi="Times New Roman"/>
          <w:sz w:val="24"/>
          <w:szCs w:val="24"/>
        </w:rPr>
        <w:footnoteReference w:id="554"/>
      </w:r>
    </w:p>
    <w:p w14:paraId="4F6940F9">
      <w:pPr>
        <w:pStyle w:val="style4"/>
        <w:rPr/>
      </w:pPr>
      <w:r>
        <w:t xml:space="preserve">3.2.2.8 </w:t>
      </w:r>
      <w:r>
        <w:tab/>
      </w:r>
      <w:r>
        <w:t>World Health Organisation</w:t>
      </w:r>
    </w:p>
    <w:p w14:paraId="35BBA2C8">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WHO recognises infertility as an important global health issue and provides guidance on reproductive healthcare.</w:t>
      </w:r>
      <w:r>
        <w:rPr>
          <w:rStyle w:val="style38"/>
          <w:rFonts w:ascii="Times New Roman" w:cs="Times New Roman" w:hAnsi="Times New Roman"/>
          <w:sz w:val="24"/>
          <w:szCs w:val="24"/>
        </w:rPr>
        <w:footnoteReference w:id="555"/>
      </w:r>
      <w:r>
        <w:rPr>
          <w:rFonts w:ascii="Times New Roman" w:cs="Times New Roman" w:hAnsi="Times New Roman"/>
          <w:sz w:val="24"/>
          <w:szCs w:val="24"/>
        </w:rPr>
        <w:t xml:space="preserve"> This underscores the need for an effective legal framework governing ART and surrogacy in Nigeria.</w:t>
      </w:r>
    </w:p>
    <w:p w14:paraId="7E095706">
      <w:pPr>
        <w:pStyle w:val="style0"/>
        <w:spacing w:lineRule="auto" w:line="480"/>
        <w:jc w:val="both"/>
        <w:rPr>
          <w:rFonts w:ascii="Times New Roman" w:cs="Times New Roman" w:hAnsi="Times New Roman"/>
          <w:sz w:val="24"/>
          <w:szCs w:val="24"/>
        </w:rPr>
      </w:pPr>
    </w:p>
    <w:bookmarkStart w:id="75" w:name="_Toc233678280"/>
    <w:p w14:paraId="234F8A28">
      <w:pPr>
        <w:pStyle w:val="style2"/>
        <w:rPr>
          <w:lang w:val="en-US"/>
        </w:rPr>
      </w:pPr>
      <w:r>
        <w:rPr>
          <w:lang w:val="en-US"/>
        </w:rPr>
        <w:t>3.3      Surrogacy Agreements as Private Instruments within the Nigerian Legal Framework</w:t>
      </w:r>
      <w:bookmarkEnd w:id="75"/>
    </w:p>
    <w:p w14:paraId="1D08DEF2">
      <w:pPr>
        <w:pStyle w:val="style94"/>
        <w:spacing w:lineRule="auto" w:line="480"/>
        <w:jc w:val="both"/>
        <w:rPr/>
      </w:pPr>
      <w:r>
        <w:t>Surrogacy agreements in Nigeria are important private instruments because they record the parties’ intentions on parentage, consent, custody, responsibility, and the transfer of care after birth, even though no comprehensive statute yet governs surrogacy. A well-drafted agreement clearly identifies the parties, defines key terms, explains the purpose of the arrangement, regulates the medical process, confirms capacity and voluntary consent, allocates parental rights differently for gestational and genetic surrogacy, and sets out compensation, reimbursement, health obligations, risk allocation, contingency plans, confidentiality, dispute resolution, and other standard contractual clauses. However, such an agreement cannot by itself create legal parentage, since that ultimately depends on domestic law and the recognition of institutions such as courts, registries, and hospitals. It therefore serves as a useful supplementary device, but also shows the need for a clear Nigerian legal framework on surrogacy and assisted reproductive technology.</w:t>
      </w:r>
    </w:p>
    <w:p w14:paraId="4AC7D229">
      <w:pPr>
        <w:pStyle w:val="style0"/>
        <w:spacing w:after="0" w:lineRule="auto" w:line="240"/>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br w:type="page"/>
      </w:r>
    </w:p>
    <w:bookmarkStart w:id="76" w:name="_Toc233678281"/>
    <w:p w14:paraId="220D326B">
      <w:pPr>
        <w:pStyle w:val="style1"/>
        <w:rPr/>
      </w:pPr>
      <w:r>
        <w:t>CHAPTER FOUR</w:t>
      </w:r>
      <w:bookmarkEnd w:id="76"/>
    </w:p>
    <w:bookmarkStart w:id="77" w:name="_Toc233678282"/>
    <w:p w14:paraId="27F2917A">
      <w:pPr>
        <w:pStyle w:val="style1"/>
        <w:rPr/>
      </w:pPr>
      <w:r>
        <w:t>DETERMINATION OF PARENTAGE AND PRACTICAL CHALLENGES</w:t>
      </w:r>
      <w:bookmarkEnd w:id="77"/>
    </w:p>
    <w:bookmarkStart w:id="78" w:name="_Toc233678283"/>
    <w:p w14:paraId="54C44438">
      <w:pPr>
        <w:pStyle w:val="style2"/>
        <w:rPr>
          <w:lang w:val="en-US"/>
        </w:rPr>
      </w:pPr>
      <w:r>
        <w:rPr>
          <w:lang w:val="en-US"/>
        </w:rPr>
        <w:t xml:space="preserve">4.1 </w:t>
      </w:r>
      <w:r>
        <w:rPr>
          <w:lang w:val="en-US"/>
        </w:rPr>
        <w:tab/>
      </w:r>
      <w:r>
        <w:rPr>
          <w:lang w:val="en-US"/>
        </w:rPr>
        <w:t>Determination of Parentage under Nigerian Law</w:t>
      </w:r>
      <w:bookmarkEnd w:id="78"/>
    </w:p>
    <w:p w14:paraId="7B063AF7">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 xml:space="preserve">Parentage in Nigeria is still anchored in traditional presumptions of birth, marriage, legitimacy, acknowledgment, and custody, rather than a </w:t>
      </w:r>
      <w:r>
        <w:rPr>
          <w:rFonts w:ascii="Times New Roman" w:cs="Times New Roman" w:hAnsi="Times New Roman"/>
          <w:sz w:val="24"/>
          <w:szCs w:val="24"/>
          <w:lang w:val="en-US"/>
        </w:rPr>
        <w:t>specialized</w:t>
      </w:r>
      <w:r>
        <w:rPr>
          <w:rFonts w:ascii="Times New Roman" w:cs="Times New Roman" w:hAnsi="Times New Roman"/>
          <w:sz w:val="24"/>
          <w:szCs w:val="24"/>
        </w:rPr>
        <w:t xml:space="preserve"> ART regime. It is instead pieced together from the </w:t>
      </w:r>
      <w:r>
        <w:rPr>
          <w:rFonts w:ascii="Times New Roman" w:cs="Times New Roman" w:hAnsi="Times New Roman"/>
          <w:i/>
          <w:iCs/>
          <w:sz w:val="24"/>
          <w:szCs w:val="24"/>
        </w:rPr>
        <w:t>Constitution, CRA 2003, MCA, Evidence Act 2011, Births, Deaths, etc. (Compulsory Registration) Act,</w:t>
      </w:r>
      <w:r>
        <w:rPr>
          <w:rFonts w:ascii="Times New Roman" w:cs="Times New Roman" w:hAnsi="Times New Roman"/>
          <w:sz w:val="24"/>
          <w:szCs w:val="24"/>
        </w:rPr>
        <w:t xml:space="preserve"> succession rules, and persuasive common law.</w:t>
      </w:r>
    </w:p>
    <w:bookmarkStart w:id="79" w:name="_Toc233678284"/>
    <w:p w14:paraId="34770F77">
      <w:pPr>
        <w:pStyle w:val="style3"/>
        <w:rPr>
          <w:lang w:val="en-US"/>
        </w:rPr>
      </w:pPr>
      <w:r>
        <w:rPr>
          <w:lang w:val="en-US"/>
        </w:rPr>
        <w:t xml:space="preserve">4.1.1 </w:t>
      </w:r>
      <w:r>
        <w:rPr>
          <w:lang w:val="en-US"/>
        </w:rPr>
        <w:tab/>
      </w:r>
      <w:r>
        <w:rPr>
          <w:lang w:val="en-US"/>
        </w:rPr>
        <w:t>Presumptions of Motherhood and Fatherhood</w:t>
      </w:r>
      <w:bookmarkEnd w:id="79"/>
    </w:p>
    <w:p w14:paraId="2051D7D3">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Motherhood is still tied to childbirth and fatherhood to marriage, legitimacy, and acknowledgment, largely because Nigeria lacks ART</w:t>
      </w:r>
      <w:r>
        <w:rPr>
          <w:rFonts w:ascii="Times New Roman" w:cs="Times New Roman" w:hAnsi="Times New Roman"/>
          <w:sz w:val="24"/>
          <w:szCs w:val="24"/>
          <w:lang w:val="en-US"/>
        </w:rPr>
        <w:t xml:space="preserve"> and surrogacy </w:t>
      </w:r>
      <w:r>
        <w:rPr>
          <w:rFonts w:ascii="Times New Roman" w:cs="Times New Roman" w:hAnsi="Times New Roman"/>
          <w:sz w:val="24"/>
          <w:szCs w:val="24"/>
        </w:rPr>
        <w:t>specific regulation, leaving hospitals, registrars, and courts to default to birth and marriage as status markers administratively simple but inadequate for surrogacy</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56"/>
      </w:r>
      <w:r>
        <w:rPr>
          <w:rFonts w:ascii="Times New Roman" w:cs="Times New Roman" w:hAnsi="Times New Roman"/>
          <w:sz w:val="24"/>
          <w:szCs w:val="24"/>
        </w:rPr>
        <w:t xml:space="preserve">For fatherhood, </w:t>
      </w:r>
      <w:r>
        <w:rPr>
          <w:rFonts w:ascii="Times New Roman" w:cs="Times New Roman" w:hAnsi="Times New Roman"/>
          <w:i/>
          <w:iCs/>
          <w:sz w:val="24"/>
          <w:szCs w:val="24"/>
        </w:rPr>
        <w:t>section 165 of the Evidence Act</w:t>
      </w:r>
      <w:r>
        <w:rPr>
          <w:rFonts w:ascii="Times New Roman" w:cs="Times New Roman" w:hAnsi="Times New Roman"/>
          <w:sz w:val="24"/>
          <w:szCs w:val="24"/>
        </w:rPr>
        <w:t xml:space="preserve"> presumes legitimacy where a child is born within marriage or within 280 days of its dissolution if the mother remains unmarried. It protects children from status disputes and family instability, but </w:t>
      </w:r>
      <w:r>
        <w:rPr>
          <w:rFonts w:ascii="Times New Roman" w:cs="Times New Roman" w:eastAsia="Times New Roman" w:hAnsi="Times New Roman"/>
          <w:sz w:val="24"/>
          <w:szCs w:val="24"/>
          <w:lang w:val="en-US"/>
        </w:rPr>
        <w:t>Ani</w:t>
      </w:r>
      <w:r>
        <w:rPr>
          <w:rStyle w:val="style38"/>
          <w:rFonts w:ascii="Times New Roman" w:cs="Times New Roman" w:eastAsia="Times New Roman" w:hAnsi="Times New Roman"/>
          <w:sz w:val="24"/>
          <w:szCs w:val="24"/>
          <w:lang w:val="en-US"/>
        </w:rPr>
        <w:footnoteReference w:id="557"/>
      </w:r>
      <w:r>
        <w:rPr>
          <w:rFonts w:ascii="Times New Roman" w:cs="Times New Roman" w:eastAsia="Times New Roman" w:hAnsi="Times New Roman"/>
          <w:sz w:val="24"/>
          <w:szCs w:val="24"/>
          <w:lang w:val="en-US"/>
        </w:rPr>
        <w:t xml:space="preserve"> criticizes this provision as inadequate for modern parentage because it was framed for a world in which legitimacy disputes arose through adultery or ordinary non-marital paternity. </w:t>
      </w:r>
    </w:p>
    <w:p w14:paraId="3F4AE007">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Motherhood is even more problematic in gestational surrogacy, where the birthing woman is treated as mother by default. Yet surrogacy splits motherhood into gestational, genetic, and intentional roles. Lima argues that intentionnot just gestationshould weigh heavily, especially where the surrogate never intended parental responsibility,</w:t>
      </w:r>
      <w:r>
        <w:rPr>
          <w:rStyle w:val="style38"/>
          <w:rFonts w:ascii="Times New Roman" w:cs="Times New Roman" w:eastAsia="Times New Roman" w:hAnsi="Times New Roman"/>
          <w:sz w:val="24"/>
          <w:szCs w:val="24"/>
          <w:lang w:val="en-US"/>
        </w:rPr>
        <w:footnoteReference w:id="558"/>
      </w:r>
      <w:r>
        <w:rPr>
          <w:rFonts w:ascii="Times New Roman" w:cs="Times New Roman" w:hAnsi="Times New Roman"/>
          <w:sz w:val="24"/>
          <w:szCs w:val="24"/>
        </w:rPr>
        <w:t>a reality Nigerian practice still fails to reflect.</w:t>
      </w:r>
      <w:r>
        <w:rPr>
          <w:rStyle w:val="style38"/>
          <w:rFonts w:ascii="Times New Roman" w:cs="Times New Roman" w:eastAsia="Times New Roman" w:hAnsi="Times New Roman"/>
          <w:sz w:val="24"/>
          <w:szCs w:val="24"/>
          <w:lang w:val="en-US"/>
        </w:rPr>
        <w:footnoteReference w:id="559"/>
      </w:r>
    </w:p>
    <w:p w14:paraId="04875AFC">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 xml:space="preserve">In </w:t>
      </w:r>
      <w:r>
        <w:rPr>
          <w:rFonts w:ascii="Times New Roman" w:cs="Times New Roman" w:eastAsia="Times New Roman" w:hAnsi="Times New Roman"/>
          <w:bCs/>
          <w:i/>
          <w:iCs/>
          <w:sz w:val="24"/>
          <w:szCs w:val="24"/>
          <w:lang w:val="en-US"/>
        </w:rPr>
        <w:t>Williams v Williams</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60"/>
      </w:r>
      <w:r>
        <w:rPr>
          <w:rFonts w:ascii="Times New Roman" w:cs="Times New Roman" w:eastAsia="Times New Roman" w:hAnsi="Times New Roman"/>
          <w:sz w:val="24"/>
          <w:szCs w:val="24"/>
          <w:lang w:val="en-US"/>
        </w:rPr>
        <w:t xml:space="preserve"> the Supreme Court made it clear that the welfare of the child is paramount. </w:t>
      </w:r>
      <w:r>
        <w:rPr>
          <w:rFonts w:ascii="Times New Roman" w:cs="Times New Roman" w:eastAsia="Times New Roman" w:hAnsi="Times New Roman"/>
          <w:bCs/>
          <w:sz w:val="24"/>
          <w:szCs w:val="24"/>
          <w:lang w:val="en-US"/>
        </w:rPr>
        <w:t xml:space="preserve">Indeed, this was </w:t>
      </w:r>
      <w:r>
        <w:rPr>
          <w:rFonts w:ascii="Times New Roman" w:cs="Times New Roman" w:eastAsia="Times New Roman" w:hAnsi="Times New Roman"/>
          <w:sz w:val="24"/>
          <w:szCs w:val="24"/>
          <w:lang w:val="en-US"/>
        </w:rPr>
        <w:t>not a surrogacy case. However, it indicates that the courts in Nigeria are willing to move beyond mere formalism. Even so, traditional presumptions is not suited to ART. They assume that sex, conception, pregnancy, and social parenting occur within the same family unit. Surrogacy and donor conception dissolve that convergence. A child may have a gestational mother, a genetic mother, an intended mother, and a social mother. Likewise, there may be a genetic father, a legal husband, and an intended social father who are not the same person. The law in Nigeria still adopts presumptions built for an older biological and social reality to answer questions generated by a new one.</w:t>
      </w:r>
      <w:r>
        <w:rPr>
          <w:rStyle w:val="style38"/>
          <w:rFonts w:ascii="Times New Roman" w:cs="Times New Roman" w:eastAsia="Times New Roman" w:hAnsi="Times New Roman"/>
          <w:sz w:val="24"/>
          <w:szCs w:val="24"/>
          <w:lang w:val="en-US"/>
        </w:rPr>
        <w:footnoteReference w:id="561"/>
      </w:r>
    </w:p>
    <w:p w14:paraId="5F4241DA">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Scholars note that despite reforms softening illegitimacy doctrines, Nigerian parentage law still rests on orthodox marital and quasi-marital structures.</w:t>
      </w:r>
      <w:r>
        <w:rPr>
          <w:rStyle w:val="style38"/>
          <w:rFonts w:ascii="Times New Roman" w:cs="Times New Roman" w:eastAsia="Times New Roman" w:hAnsi="Times New Roman"/>
          <w:sz w:val="24"/>
          <w:szCs w:val="24"/>
          <w:lang w:val="en-US"/>
        </w:rPr>
        <w:footnoteReference w:id="562"/>
      </w:r>
      <w:r>
        <w:rPr>
          <w:rFonts w:ascii="Times New Roman" w:cs="Times New Roman" w:hAnsi="Times New Roman"/>
          <w:sz w:val="24"/>
          <w:szCs w:val="24"/>
        </w:rPr>
        <w:t>The disruption caused by surrogacy is therefore conceptual</w:t>
      </w:r>
      <w:r>
        <w:rPr>
          <w:rFonts w:ascii="Times New Roman" w:cs="Times New Roman" w:hAnsi="Times New Roman"/>
          <w:sz w:val="24"/>
          <w:szCs w:val="24"/>
          <w:lang w:val="en-US"/>
        </w:rPr>
        <w:t>, that is,</w:t>
      </w:r>
      <w:r>
        <w:rPr>
          <w:rFonts w:ascii="Times New Roman" w:cs="Times New Roman" w:hAnsi="Times New Roman"/>
          <w:sz w:val="24"/>
          <w:szCs w:val="24"/>
        </w:rPr>
        <w:t xml:space="preserve"> once genetics, gestation, and intention diverge, the system collapses. Consequently, traditional presumptions are increasingly inadequate, especially where DNA and ART complicate biological assumptions</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63"/>
      </w:r>
    </w:p>
    <w:bookmarkStart w:id="80" w:name="_Toc233678285"/>
    <w:p w14:paraId="1A703BF6">
      <w:pPr>
        <w:pStyle w:val="style3"/>
        <w:rPr>
          <w:lang w:val="en-US"/>
        </w:rPr>
      </w:pPr>
      <w:r>
        <w:rPr>
          <w:lang w:val="en-US"/>
        </w:rPr>
        <w:t xml:space="preserve">4.1.2 </w:t>
      </w:r>
      <w:r>
        <w:rPr>
          <w:lang w:val="en-US"/>
        </w:rPr>
        <w:tab/>
      </w:r>
      <w:r>
        <w:rPr>
          <w:lang w:val="en-US"/>
        </w:rPr>
        <w:t>DNA and Genetic Evidence in the Proof of Parentage</w:t>
      </w:r>
      <w:bookmarkEnd w:id="80"/>
    </w:p>
    <w:p w14:paraId="3F65588E">
      <w:pPr>
        <w:pStyle w:val="style4"/>
        <w:rPr>
          <w:lang w:val="en-US"/>
        </w:rPr>
      </w:pPr>
      <w:r>
        <w:rPr>
          <w:lang w:val="en-US"/>
        </w:rPr>
        <w:t>4.1.2.1 DNA Evidence</w:t>
      </w:r>
    </w:p>
    <w:p w14:paraId="50365BE0">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DNA testing has transformed parentage litigation by reliably establishing genetic links and often decisively resolving ordinary paternity disputes. However, in ART and surrogacy, it only identifies biology</w:t>
      </w:r>
      <w:r>
        <w:rPr>
          <w:rFonts w:ascii="Times New Roman" w:cs="Times New Roman" w:hAnsi="Times New Roman"/>
          <w:sz w:val="24"/>
          <w:szCs w:val="24"/>
          <w:lang w:val="en-US"/>
        </w:rPr>
        <w:t xml:space="preserve"> but </w:t>
      </w:r>
      <w:r>
        <w:rPr>
          <w:rFonts w:ascii="Times New Roman" w:cs="Times New Roman" w:hAnsi="Times New Roman"/>
          <w:sz w:val="24"/>
          <w:szCs w:val="24"/>
        </w:rPr>
        <w:t>it does not determine legal parenthood. Donors may be genetic contributors without intent, surrogates may lack genetic ties, and intended parents may lack biology entirely yet remain the true commissioning parents. Tueller therefore argues genetic connection should not be dispositive in surrogacy</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64"/>
      </w:r>
    </w:p>
    <w:p w14:paraId="7CC5920A">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While DNA appears objective, it can distort outcomes by privileging donors or undermining intentional family formation. Yet excluding genetics entirely is also problematic since it remains relevant for identity, medical history, and inheritance.The issue is therefore not relevance, but legal weight relative to intention, gestation, welfare, and social parenting</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65"/>
      </w:r>
    </w:p>
    <w:p w14:paraId="1B1CC708">
      <w:pPr>
        <w:pStyle w:val="style4"/>
        <w:rPr>
          <w:lang w:val="en-US"/>
        </w:rPr>
      </w:pPr>
      <w:r>
        <w:rPr>
          <w:lang w:val="en-US"/>
        </w:rPr>
        <w:t xml:space="preserve">4.1.2.2 </w:t>
      </w:r>
      <w:r>
        <w:rPr>
          <w:lang w:val="en-US"/>
        </w:rPr>
        <w:tab/>
      </w:r>
      <w:r>
        <w:rPr>
          <w:lang w:val="en-US"/>
        </w:rPr>
        <w:t>Admissibility and Evidential Weight</w:t>
      </w:r>
    </w:p>
    <w:p w14:paraId="2F4E31C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Nigeria, DNA evidence is governed by general evidence law and judicial discretion due to the absence of surrogacy-specific legislation.</w:t>
      </w:r>
      <w:r>
        <w:rPr>
          <w:rFonts w:ascii="Times New Roman" w:cs="Times New Roman" w:eastAsia="Times New Roman" w:hAnsi="Times New Roman"/>
          <w:sz w:val="24"/>
          <w:szCs w:val="24"/>
        </w:rPr>
        <w:t xml:space="preserve">In </w:t>
      </w:r>
      <w:r>
        <w:rPr>
          <w:rFonts w:ascii="Times New Roman" w:cs="Times New Roman" w:eastAsia="Times New Roman" w:hAnsi="Times New Roman"/>
          <w:i/>
          <w:sz w:val="24"/>
          <w:szCs w:val="24"/>
        </w:rPr>
        <w:t>Tony Anozia v Mrs Patricia Okwunwa Nnani &amp; Anor</w:t>
      </w:r>
      <w:r>
        <w:rPr>
          <w:rFonts w:ascii="Times New Roman" w:cs="Times New Roman" w:eastAsia="Times New Roman" w:hAnsi="Times New Roman"/>
          <w:sz w:val="24"/>
          <w:szCs w:val="24"/>
        </w:rPr>
        <w:t>,</w:t>
      </w:r>
      <w:r>
        <w:rPr>
          <w:rStyle w:val="style38"/>
          <w:rFonts w:ascii="Times New Roman" w:cs="Times New Roman" w:eastAsia="Times New Roman" w:hAnsi="Times New Roman"/>
          <w:sz w:val="24"/>
          <w:szCs w:val="24"/>
        </w:rPr>
        <w:footnoteReference w:id="566"/>
      </w:r>
      <w:r>
        <w:rPr>
          <w:rFonts w:ascii="Times New Roman" w:cs="Times New Roman" w:eastAsia="Times New Roman" w:hAnsi="Times New Roman"/>
          <w:sz w:val="24"/>
          <w:szCs w:val="24"/>
        </w:rPr>
        <w:t xml:space="preserve"> the appellant, Tony Anozia, claimed that he was the biological father of the second respondent, Ignatius “Nnani”, who was already a 57-year-old adult. He sought an order compelling the respondents to submit to DNA testing so that the court could declare him the father and direct the second respondent to change his surname. The trial court refused the application and the Court of Appeal dismissed the appeal. </w:t>
      </w:r>
      <w:r>
        <w:rPr>
          <w:rFonts w:ascii="Times New Roman" w:cs="Times New Roman" w:hAnsi="Times New Roman"/>
          <w:sz w:val="24"/>
          <w:szCs w:val="24"/>
          <w:lang w:val="en-US"/>
        </w:rPr>
        <w:t>T</w:t>
      </w:r>
      <w:r>
        <w:rPr>
          <w:rFonts w:ascii="Times New Roman" w:cs="Times New Roman" w:hAnsi="Times New Roman"/>
          <w:sz w:val="24"/>
          <w:szCs w:val="24"/>
        </w:rPr>
        <w:t>he Court of Appeal held courts cannot compel unwilling adults to undergo DNA testing due to privacy and bodily autonomy, even while affirming its usefulness in paternity disputes, especially involving minors. The burden remains on the claimant, and courts will not assist in obtaining evidence from unwilling parties.</w:t>
      </w:r>
    </w:p>
    <w:p w14:paraId="6EAAE67D">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Scholars similarly accept DNA as valuable but caution against compulsion and exposure of sensitive matters such as infertility, donor conception, and private reproductive arrangements</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67"/>
      </w:r>
      <w:r>
        <w:rPr>
          <w:rFonts w:ascii="Times New Roman" w:cs="Times New Roman" w:hAnsi="Times New Roman"/>
          <w:sz w:val="24"/>
          <w:szCs w:val="24"/>
        </w:rPr>
        <w:t>DNA is probative but not conclusive</w:t>
      </w:r>
      <w:r>
        <w:rPr>
          <w:rFonts w:ascii="Times New Roman" w:cs="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68"/>
      </w:r>
      <w:r>
        <w:rPr>
          <w:rFonts w:ascii="Times New Roman" w:cs="Times New Roman" w:hAnsi="Times New Roman"/>
          <w:sz w:val="24"/>
          <w:szCs w:val="24"/>
          <w:lang w:val="en-US"/>
        </w:rPr>
        <w:t>I</w:t>
      </w:r>
      <w:r>
        <w:rPr>
          <w:rFonts w:ascii="Times New Roman" w:cs="Times New Roman" w:hAnsi="Times New Roman"/>
          <w:sz w:val="24"/>
          <w:szCs w:val="24"/>
        </w:rPr>
        <w:t>n ordinary cases biology dominates, but in ART it interacts with intention, consent, responsibility, and donor roles. Treating DNA as decisive in all ART disputes risks replacing marital presumption with genetic absolutism.</w:t>
      </w:r>
      <w:r>
        <w:rPr>
          <w:rStyle w:val="style38"/>
          <w:rFonts w:ascii="Times New Roman" w:cs="Times New Roman" w:eastAsia="Times New Roman" w:hAnsi="Times New Roman"/>
          <w:sz w:val="24"/>
          <w:szCs w:val="24"/>
          <w:lang w:val="en-US"/>
        </w:rPr>
        <w:footnoteReference w:id="569"/>
      </w:r>
    </w:p>
    <w:p w14:paraId="0D7BC442">
      <w:pPr>
        <w:pStyle w:val="style4"/>
        <w:rPr>
          <w:lang w:val="en-US"/>
        </w:rPr>
      </w:pPr>
      <w:r>
        <w:rPr>
          <w:lang w:val="en-US"/>
        </w:rPr>
        <w:t xml:space="preserve">4.1.2.3 </w:t>
      </w:r>
      <w:r>
        <w:rPr>
          <w:lang w:val="en-US"/>
        </w:rPr>
        <w:tab/>
      </w:r>
      <w:r>
        <w:rPr>
          <w:lang w:val="en-US"/>
        </w:rPr>
        <w:t>Effect on the Traditional Presumptions</w:t>
      </w:r>
    </w:p>
    <w:p w14:paraId="3DFBA462">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 xml:space="preserve">DNA has weakened but not displaced traditional presumptions. </w:t>
      </w:r>
      <w:r>
        <w:rPr>
          <w:rFonts w:ascii="Times New Roman" w:cs="Times New Roman" w:hAnsi="Times New Roman"/>
          <w:i/>
          <w:iCs/>
          <w:sz w:val="24"/>
          <w:szCs w:val="24"/>
        </w:rPr>
        <w:t>Section 165</w:t>
      </w:r>
      <w:r>
        <w:rPr>
          <w:rFonts w:ascii="Times New Roman" w:cs="Times New Roman" w:hAnsi="Times New Roman"/>
          <w:i/>
          <w:iCs/>
          <w:sz w:val="24"/>
          <w:szCs w:val="24"/>
          <w:lang w:val="en-US"/>
        </w:rPr>
        <w:t xml:space="preserve"> of</w:t>
      </w:r>
      <w:r>
        <w:rPr>
          <w:rFonts w:ascii="Times New Roman" w:cs="Times New Roman" w:hAnsi="Times New Roman"/>
          <w:i/>
          <w:iCs/>
          <w:sz w:val="24"/>
          <w:szCs w:val="24"/>
        </w:rPr>
        <w:t xml:space="preserve"> Evidence Act </w:t>
      </w:r>
      <w:r>
        <w:rPr>
          <w:rFonts w:ascii="Times New Roman" w:cs="Times New Roman" w:hAnsi="Times New Roman"/>
          <w:sz w:val="24"/>
          <w:szCs w:val="24"/>
        </w:rPr>
        <w:t>remains strong, but cannot fully withstand reliable genetic testing. In paternity disputes, DNA may rebut presumption</w:t>
      </w:r>
      <w:r>
        <w:rPr>
          <w:rFonts w:ascii="Times New Roman" w:cs="Times New Roman" w:hAnsi="Times New Roman"/>
          <w:sz w:val="24"/>
          <w:szCs w:val="24"/>
          <w:lang w:val="en-US"/>
        </w:rPr>
        <w:t>, however,</w:t>
      </w:r>
      <w:r>
        <w:rPr>
          <w:rFonts w:ascii="Times New Roman" w:cs="Times New Roman" w:hAnsi="Times New Roman"/>
          <w:sz w:val="24"/>
          <w:szCs w:val="24"/>
        </w:rPr>
        <w:t xml:space="preserve"> in ART</w:t>
      </w:r>
      <w:r>
        <w:rPr>
          <w:rFonts w:ascii="Times New Roman" w:cs="Times New Roman" w:hAnsi="Times New Roman"/>
          <w:sz w:val="24"/>
          <w:szCs w:val="24"/>
          <w:lang w:val="en-US"/>
        </w:rPr>
        <w:t xml:space="preserve"> and surrogacy</w:t>
      </w:r>
      <w:r>
        <w:rPr>
          <w:rFonts w:ascii="Times New Roman" w:cs="Times New Roman" w:hAnsi="Times New Roman"/>
          <w:sz w:val="24"/>
          <w:szCs w:val="24"/>
        </w:rPr>
        <w:t xml:space="preserve">, it may instead complicate parentage by revealing </w:t>
      </w:r>
      <w:r>
        <w:rPr>
          <w:rFonts w:ascii="Times New Roman" w:cs="Times New Roman" w:eastAsia="Times New Roman" w:hAnsi="Times New Roman"/>
          <w:sz w:val="24"/>
          <w:szCs w:val="24"/>
          <w:lang w:val="en-US"/>
        </w:rPr>
        <w:t>a donor or genetic contributor who was never intended to be the legal parent.</w:t>
      </w:r>
      <w:r>
        <w:rPr>
          <w:rStyle w:val="style38"/>
          <w:rFonts w:ascii="Times New Roman" w:cs="Times New Roman" w:eastAsia="Times New Roman" w:hAnsi="Times New Roman"/>
          <w:sz w:val="24"/>
          <w:szCs w:val="24"/>
          <w:lang w:val="en-US"/>
        </w:rPr>
        <w:footnoteReference w:id="570"/>
      </w:r>
      <w:r>
        <w:rPr>
          <w:rFonts w:ascii="Times New Roman" w:cs="Times New Roman" w:hAnsi="Times New Roman"/>
          <w:sz w:val="24"/>
          <w:szCs w:val="24"/>
        </w:rPr>
        <w:t>DNA destabilises older frameworks built on convergence of biology, gestation, and social parenting.</w:t>
      </w:r>
      <w:r>
        <w:rPr>
          <w:rStyle w:val="style38"/>
          <w:rFonts w:ascii="Times New Roman" w:cs="Times New Roman" w:eastAsia="Times New Roman" w:hAnsi="Times New Roman"/>
          <w:sz w:val="24"/>
          <w:szCs w:val="24"/>
          <w:lang w:val="en-US"/>
        </w:rPr>
        <w:footnoteReference w:id="571"/>
      </w:r>
      <w:r>
        <w:rPr>
          <w:rFonts w:ascii="Times New Roman" w:cs="Times New Roman" w:hAnsi="Times New Roman"/>
          <w:sz w:val="24"/>
          <w:szCs w:val="24"/>
        </w:rPr>
        <w:t>This shift is visible in Nigerian practice, such as the Mohbad paternity dispute where courts ordered multiple DNA tests in 2025</w:t>
      </w:r>
      <w:r>
        <w:rPr>
          <w:rFonts w:ascii="Times New Roman" w:cs="Times New Roman" w:hAnsi="Times New Roman"/>
          <w:sz w:val="24"/>
          <w:szCs w:val="24"/>
          <w:lang w:val="en-US"/>
        </w:rPr>
        <w:t>-</w:t>
      </w:r>
      <w:r>
        <w:rPr>
          <w:rFonts w:ascii="Times New Roman" w:cs="Times New Roman" w:hAnsi="Times New Roman"/>
          <w:sz w:val="24"/>
          <w:szCs w:val="24"/>
        </w:rPr>
        <w:t>2026, reflecting growing judicial reliance on scientific proof even outside surrogacy contexts.</w:t>
      </w:r>
      <w:r>
        <w:rPr>
          <w:rStyle w:val="style38"/>
          <w:rFonts w:ascii="Times New Roman" w:cs="Times New Roman" w:eastAsia="Times New Roman" w:hAnsi="Times New Roman"/>
          <w:sz w:val="24"/>
          <w:szCs w:val="24"/>
          <w:lang w:val="en-US"/>
        </w:rPr>
        <w:footnoteReference w:id="572"/>
      </w:r>
    </w:p>
    <w:bookmarkStart w:id="81" w:name="_Toc233678286"/>
    <w:p w14:paraId="3B47803B">
      <w:pPr>
        <w:pStyle w:val="style3"/>
        <w:rPr>
          <w:lang w:val="en-US"/>
        </w:rPr>
      </w:pPr>
      <w:r>
        <w:rPr>
          <w:lang w:val="en-US"/>
        </w:rPr>
        <w:t xml:space="preserve">4.1.3 </w:t>
      </w:r>
      <w:r>
        <w:rPr>
          <w:lang w:val="en-US"/>
        </w:rPr>
        <w:tab/>
      </w:r>
      <w:r>
        <w:rPr>
          <w:lang w:val="en-US"/>
        </w:rPr>
        <w:tab/>
      </w:r>
      <w:r>
        <w:rPr>
          <w:lang w:val="en-US"/>
        </w:rPr>
        <w:t>Legal Processes for Establishing Parentage</w:t>
      </w:r>
      <w:bookmarkEnd w:id="81"/>
    </w:p>
    <w:p w14:paraId="0DC6E515">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Legal processes for establishing parentage are the legal mechanisms through which the law recognizes, confirms or transfers parental status and responsibilities in relation to a child. In the context of surrogacy and ART, these processes determine who is legally recognized as the child's parent where genetic, gestational and intending parenthood do not coincide. They may operate before or after the child's birth and include parental orders, adoption, pre-birth arrangements and post-birth judicial or administrative measures.</w:t>
      </w:r>
    </w:p>
    <w:p w14:paraId="61203738">
      <w:pPr>
        <w:pStyle w:val="style4"/>
        <w:rPr>
          <w:lang w:val="en-US"/>
        </w:rPr>
      </w:pPr>
      <w:r>
        <w:rPr>
          <w:lang w:val="en-US"/>
        </w:rPr>
        <w:t xml:space="preserve">4.1.3.1 </w:t>
      </w:r>
      <w:r>
        <w:rPr>
          <w:lang w:val="en-US"/>
        </w:rPr>
        <w:tab/>
      </w:r>
      <w:r>
        <w:rPr>
          <w:lang w:val="en-US"/>
        </w:rPr>
        <w:t>Parental Orders</w:t>
      </w:r>
    </w:p>
    <w:p w14:paraId="35A79BC3">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Nigeria has no statutory parental order system. In contrast, England and Wales recognise the surrogate as the legal mother at the time of birth, while the intended parents subsequently seek a parental order. The matter of Re X (A Child) demonstrates that English courts have occasionally understood the legal requirements to safeguard the child's family life when procedural obstacles might otherwise lead to a state of uncertainty.</w:t>
      </w:r>
      <w:r>
        <w:rPr>
          <w:rStyle w:val="style38"/>
          <w:rFonts w:ascii="Times New Roman" w:cs="Times New Roman" w:eastAsia="Times New Roman" w:hAnsi="Times New Roman"/>
          <w:sz w:val="24"/>
          <w:szCs w:val="24"/>
          <w:lang w:val="en-US"/>
        </w:rPr>
        <w:footnoteReference w:id="573"/>
      </w:r>
      <w:r>
        <w:rPr>
          <w:rFonts w:ascii="Times New Roman" w:cs="Times New Roman" w:hAnsi="Times New Roman"/>
          <w:sz w:val="24"/>
          <w:szCs w:val="24"/>
        </w:rPr>
        <w:t xml:space="preserve"> Courts there sometimes interpret requirements flexibly to avoid legal limbo.Nigeria lacks any equivalent mechanism, forcing reliance on adoption, contracts, or litigation</w:t>
      </w:r>
      <w:r>
        <w:rPr>
          <w:rFonts w:ascii="Times New Roman" w:cs="Times New Roman" w:hAnsi="Times New Roman"/>
          <w:sz w:val="24"/>
          <w:szCs w:val="24"/>
          <w:lang w:val="en-US"/>
        </w:rPr>
        <w:t xml:space="preserve"> which are </w:t>
      </w:r>
      <w:r>
        <w:rPr>
          <w:rFonts w:ascii="Times New Roman" w:cs="Times New Roman" w:hAnsi="Times New Roman"/>
          <w:sz w:val="24"/>
          <w:szCs w:val="24"/>
        </w:rPr>
        <w:t>improvised solutions that leave children’s status uncertain at birth.</w:t>
      </w:r>
      <w:r>
        <w:rPr>
          <w:rStyle w:val="style38"/>
          <w:rFonts w:ascii="Times New Roman" w:cs="Times New Roman" w:eastAsia="Times New Roman" w:hAnsi="Times New Roman"/>
          <w:sz w:val="24"/>
          <w:szCs w:val="24"/>
          <w:lang w:val="en-US"/>
        </w:rPr>
        <w:footnoteReference w:id="574"/>
      </w:r>
    </w:p>
    <w:p w14:paraId="379ACFCC">
      <w:pPr>
        <w:pStyle w:val="style4"/>
        <w:rPr>
          <w:lang w:val="en-US"/>
        </w:rPr>
      </w:pPr>
      <w:r>
        <w:rPr>
          <w:lang w:val="en-US"/>
        </w:rPr>
        <w:t xml:space="preserve">4.1.3.2 </w:t>
      </w:r>
      <w:r>
        <w:rPr>
          <w:lang w:val="en-US"/>
        </w:rPr>
        <w:tab/>
      </w:r>
      <w:r>
        <w:rPr>
          <w:lang w:val="en-US"/>
        </w:rPr>
        <w:t>Adoption</w:t>
      </w:r>
    </w:p>
    <w:p w14:paraId="5EF03AB1">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Adoption is a workaround but conceptually mismatched. It wrongly treats intended parents</w:t>
      </w:r>
      <w:r>
        <w:rPr>
          <w:rFonts w:ascii="Times New Roman" w:cs="Times New Roman" w:hAnsi="Times New Roman"/>
          <w:sz w:val="24"/>
          <w:szCs w:val="24"/>
          <w:lang w:val="en-US"/>
        </w:rPr>
        <w:t xml:space="preserve"> who are </w:t>
      </w:r>
      <w:r>
        <w:rPr>
          <w:rFonts w:ascii="Times New Roman" w:cs="Times New Roman" w:hAnsi="Times New Roman"/>
          <w:sz w:val="24"/>
          <w:szCs w:val="24"/>
        </w:rPr>
        <w:t xml:space="preserve">sometimes genetically linked as strangers, and even where no genetic link exists, it misrepresents the reality that the child was intentionally commissioned, not abandoned. While it </w:t>
      </w:r>
      <w:r>
        <w:rPr>
          <w:rFonts w:ascii="Times New Roman" w:cs="Times New Roman" w:hAnsi="Times New Roman"/>
          <w:sz w:val="24"/>
          <w:szCs w:val="24"/>
          <w:lang w:val="en-US"/>
        </w:rPr>
        <w:t>regularities</w:t>
      </w:r>
      <w:r>
        <w:rPr>
          <w:rFonts w:ascii="Times New Roman" w:cs="Times New Roman" w:hAnsi="Times New Roman"/>
          <w:sz w:val="24"/>
          <w:szCs w:val="24"/>
        </w:rPr>
        <w:t xml:space="preserve"> status, it remains an inadequate substitute for proper parentage determination. Both adoption and parental orders reassign parenthood, but on fundamentally different conceptual bases</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75"/>
      </w:r>
    </w:p>
    <w:p w14:paraId="7C0CDA24">
      <w:pPr>
        <w:pStyle w:val="style4"/>
        <w:rPr>
          <w:lang w:val="en-US"/>
        </w:rPr>
      </w:pPr>
      <w:r>
        <w:rPr>
          <w:lang w:val="en-US"/>
        </w:rPr>
        <w:t xml:space="preserve">4.1.3.3 </w:t>
      </w:r>
      <w:r>
        <w:rPr>
          <w:lang w:val="en-US"/>
        </w:rPr>
        <w:tab/>
      </w:r>
      <w:r>
        <w:rPr>
          <w:lang w:val="en-US"/>
        </w:rPr>
        <w:t>Pre-Birth</w:t>
      </w:r>
    </w:p>
    <w:p w14:paraId="2B11EDA5">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Pre-birth arrangements include surrogacy contracts, donor forms, consent documents, clinic records, payment agreements, and intention declarations. These may show intent, exclusion of donors, or lack of surrogate parenthood intention, but they do not create legal parentage since parentage is a matter of civil status, not contract. Their effectiveness is further weakened by uncertain enforceability.</w:t>
      </w:r>
      <w:r>
        <w:rPr>
          <w:rStyle w:val="style38"/>
          <w:rFonts w:ascii="Times New Roman" w:cs="Times New Roman" w:eastAsia="Times New Roman" w:hAnsi="Times New Roman"/>
          <w:sz w:val="24"/>
          <w:szCs w:val="24"/>
          <w:lang w:val="en-US"/>
        </w:rPr>
        <w:footnoteReference w:id="576"/>
      </w:r>
    </w:p>
    <w:p w14:paraId="10082118">
      <w:pPr>
        <w:pStyle w:val="style4"/>
        <w:rPr>
          <w:lang w:val="en-US"/>
        </w:rPr>
      </w:pPr>
      <w:r>
        <w:rPr>
          <w:lang w:val="en-US"/>
        </w:rPr>
        <w:t xml:space="preserve">4.1.3.4 </w:t>
      </w:r>
      <w:r>
        <w:rPr>
          <w:lang w:val="en-US"/>
        </w:rPr>
        <w:tab/>
      </w:r>
      <w:r>
        <w:rPr>
          <w:lang w:val="en-US"/>
        </w:rPr>
        <w:t>Post-Birth Measures</w:t>
      </w:r>
    </w:p>
    <w:p w14:paraId="3E952015">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Post-birth mechanisms include birth registration, declaratory relief, custody proceedings, welfare orders, and adoption-type solutions. These are reactive, resolving disputes only after uncertainty arises. Without a clear transfer mechanism, children may remain in legal limbo during litigation.</w:t>
      </w:r>
      <w:r>
        <w:rPr>
          <w:rStyle w:val="style38"/>
          <w:rFonts w:ascii="Times New Roman" w:cs="Times New Roman" w:eastAsia="Times New Roman" w:hAnsi="Times New Roman"/>
          <w:sz w:val="24"/>
          <w:szCs w:val="24"/>
          <w:lang w:val="en-US"/>
        </w:rPr>
        <w:footnoteReference w:id="577"/>
      </w:r>
      <w:r>
        <w:rPr>
          <w:rFonts w:ascii="Times New Roman" w:cs="Times New Roman" w:hAnsi="Times New Roman"/>
          <w:sz w:val="24"/>
          <w:szCs w:val="24"/>
        </w:rPr>
        <w:t xml:space="preserve">Recent reforms, including the proposed </w:t>
      </w:r>
      <w:r>
        <w:rPr>
          <w:rFonts w:ascii="Times New Roman" w:cs="Times New Roman" w:hAnsi="Times New Roman"/>
          <w:i/>
          <w:iCs/>
          <w:sz w:val="24"/>
          <w:szCs w:val="24"/>
        </w:rPr>
        <w:t>Women’s Health and Surrogacy Protection Bill 2025</w:t>
      </w:r>
      <w:r>
        <w:rPr>
          <w:rFonts w:ascii="Times New Roman" w:cs="Times New Roman" w:hAnsi="Times New Roman"/>
          <w:sz w:val="24"/>
          <w:szCs w:val="24"/>
        </w:rPr>
        <w:t>, reflect recognition of this gap.</w:t>
      </w:r>
      <w:r>
        <w:rPr>
          <w:rStyle w:val="style38"/>
          <w:rFonts w:ascii="Times New Roman" w:cs="Times New Roman" w:eastAsia="Times New Roman" w:hAnsi="Times New Roman"/>
          <w:sz w:val="24"/>
          <w:szCs w:val="24"/>
          <w:lang w:val="en-US"/>
        </w:rPr>
        <w:footnoteReference w:id="578"/>
      </w:r>
    </w:p>
    <w:bookmarkStart w:id="82" w:name="_Toc233678287"/>
    <w:p w14:paraId="0251385B">
      <w:pPr>
        <w:pStyle w:val="style2"/>
        <w:rPr>
          <w:lang w:val="en-US"/>
        </w:rPr>
      </w:pPr>
      <w:r>
        <w:rPr>
          <w:lang w:val="en-US"/>
        </w:rPr>
        <w:t xml:space="preserve">4.2 </w:t>
      </w:r>
      <w:r>
        <w:rPr>
          <w:lang w:val="en-US"/>
        </w:rPr>
        <w:tab/>
      </w:r>
      <w:r>
        <w:rPr>
          <w:lang w:val="en-US"/>
        </w:rPr>
        <w:t>Legal Incident of Parentage in Relation to Children Born through Surrogacy and ART</w:t>
      </w:r>
      <w:bookmarkEnd w:id="82"/>
    </w:p>
    <w:p w14:paraId="45A2B43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Parentage determines registration, nationality, maintenance, inheritance, custody, and decision-making</w:t>
      </w:r>
      <w:r>
        <w:rPr>
          <w:rFonts w:ascii="Times New Roman" w:cs="Times New Roman" w:hAnsi="Times New Roman"/>
          <w:sz w:val="24"/>
          <w:szCs w:val="24"/>
          <w:lang w:val="en-US"/>
        </w:rPr>
        <w:t xml:space="preserve"> of the child</w:t>
      </w:r>
      <w:r>
        <w:rPr>
          <w:rFonts w:ascii="Times New Roman" w:cs="Times New Roman" w:hAnsi="Times New Roman"/>
          <w:sz w:val="24"/>
          <w:szCs w:val="24"/>
        </w:rPr>
        <w:t xml:space="preserve">. Uncertainty </w:t>
      </w:r>
      <w:r>
        <w:rPr>
          <w:rFonts w:ascii="Times New Roman" w:cs="Times New Roman" w:hAnsi="Times New Roman"/>
          <w:sz w:val="24"/>
          <w:szCs w:val="24"/>
          <w:lang w:val="en-US"/>
        </w:rPr>
        <w:t>destabilizes</w:t>
      </w:r>
      <w:r>
        <w:rPr>
          <w:rFonts w:ascii="Times New Roman" w:cs="Times New Roman" w:hAnsi="Times New Roman"/>
          <w:sz w:val="24"/>
          <w:szCs w:val="24"/>
        </w:rPr>
        <w:t xml:space="preserve"> all these legal consequences.</w:t>
      </w:r>
    </w:p>
    <w:bookmarkStart w:id="83" w:name="_Toc233678288"/>
    <w:p w14:paraId="7538A171">
      <w:pPr>
        <w:pStyle w:val="style3"/>
        <w:rPr>
          <w:lang w:val="en-US"/>
        </w:rPr>
      </w:pPr>
      <w:r>
        <w:rPr>
          <w:lang w:val="en-US"/>
        </w:rPr>
        <w:t xml:space="preserve">4.2.1 </w:t>
      </w:r>
      <w:r>
        <w:rPr>
          <w:lang w:val="en-US"/>
        </w:rPr>
        <w:tab/>
      </w:r>
      <w:r>
        <w:rPr>
          <w:lang w:val="en-US"/>
        </w:rPr>
        <w:t>Birth Registration and Issuance of Birth Certificates</w:t>
      </w:r>
      <w:bookmarkEnd w:id="83"/>
    </w:p>
    <w:p w14:paraId="2C7F3ABA">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 xml:space="preserve">Birth registration is the child’s first legal interaction with the state under the </w:t>
      </w:r>
      <w:r>
        <w:rPr>
          <w:rFonts w:ascii="Times New Roman" w:cs="Times New Roman" w:hAnsi="Times New Roman"/>
          <w:i/>
          <w:iCs/>
          <w:sz w:val="24"/>
          <w:szCs w:val="24"/>
        </w:rPr>
        <w:t>Births, Deaths, etc. (Compulsory Registration) Act</w:t>
      </w:r>
      <w:r>
        <w:rPr>
          <w:rFonts w:ascii="Times New Roman" w:cs="Times New Roman" w:hAnsi="Times New Roman"/>
          <w:i/>
          <w:iCs/>
          <w:sz w:val="24"/>
          <w:szCs w:val="24"/>
          <w:lang w:val="en-US"/>
        </w:rPr>
        <w:t>.</w:t>
      </w:r>
      <w:r>
        <w:rPr>
          <w:rFonts w:ascii="Times New Roman" w:cs="Times New Roman" w:hAnsi="Times New Roman"/>
          <w:sz w:val="24"/>
          <w:szCs w:val="24"/>
          <w:lang w:val="en-US"/>
        </w:rPr>
        <w:t xml:space="preserve"> B</w:t>
      </w:r>
      <w:r>
        <w:rPr>
          <w:rFonts w:ascii="Times New Roman" w:cs="Times New Roman" w:eastAsia="Times New Roman" w:hAnsi="Times New Roman"/>
          <w:sz w:val="24"/>
          <w:szCs w:val="24"/>
          <w:lang w:val="en-US"/>
        </w:rPr>
        <w:t>irths in Nigeria must be registered.</w:t>
      </w:r>
      <w:r>
        <w:rPr>
          <w:rStyle w:val="style38"/>
          <w:rFonts w:ascii="Times New Roman" w:cs="Times New Roman" w:eastAsia="Times New Roman" w:hAnsi="Times New Roman"/>
          <w:sz w:val="24"/>
          <w:szCs w:val="24"/>
          <w:lang w:val="en-US"/>
        </w:rPr>
        <w:footnoteReference w:id="579"/>
      </w:r>
      <w:r>
        <w:rPr>
          <w:rFonts w:ascii="Times New Roman" w:cs="Times New Roman" w:eastAsia="Times New Roman" w:hAnsi="Times New Roman"/>
          <w:sz w:val="24"/>
          <w:szCs w:val="24"/>
          <w:lang w:val="en-US"/>
        </w:rPr>
        <w:t xml:space="preserve"> The Act </w:t>
      </w:r>
      <w:r>
        <w:rPr>
          <w:rFonts w:ascii="Times New Roman" w:cs="Times New Roman" w:hAnsi="Times New Roman"/>
          <w:sz w:val="24"/>
          <w:szCs w:val="24"/>
        </w:rPr>
        <w:t xml:space="preserve">which governs certificates, late registration, naming, and </w:t>
      </w:r>
      <w:r>
        <w:rPr>
          <w:rFonts w:ascii="Times New Roman" w:cs="Times New Roman" w:hAnsi="Times New Roman"/>
          <w:sz w:val="24"/>
          <w:szCs w:val="24"/>
          <w:lang w:val="en-US"/>
        </w:rPr>
        <w:t xml:space="preserve">children born </w:t>
      </w:r>
      <w:r>
        <w:rPr>
          <w:rFonts w:ascii="Times New Roman" w:cs="Times New Roman" w:hAnsi="Times New Roman"/>
          <w:sz w:val="24"/>
          <w:szCs w:val="24"/>
        </w:rPr>
        <w:t>out-of-wedlock</w:t>
      </w:r>
      <w:r>
        <w:rPr>
          <w:rFonts w:ascii="Times New Roman" w:cs="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80"/>
      </w:r>
      <w:r>
        <w:rPr>
          <w:rFonts w:ascii="Times New Roman" w:cs="Times New Roman" w:hAnsi="Times New Roman"/>
          <w:sz w:val="24"/>
          <w:szCs w:val="24"/>
        </w:rPr>
        <w:t>However, it was not designed for surrogacy and lacks mechanisms for recording intended parents. This creates confusion and reinforces default assumptions that birth equals motherhood</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81"/>
      </w:r>
      <w:r>
        <w:rPr>
          <w:rFonts w:ascii="Times New Roman" w:cs="Times New Roman" w:eastAsia="Times New Roman" w:hAnsi="Times New Roman"/>
          <w:sz w:val="24"/>
          <w:szCs w:val="24"/>
          <w:lang w:val="en-US"/>
        </w:rPr>
        <w:t xml:space="preserve"> A registration system that automatically assigns legal status to the birth mother, without acknowledging intended parents, establishes an incorrect legal standing from the very beginning of the child's existence. In addition, research indicates that registration is not a factual act. Rather, it carries assumptions about motherhood and care. It also reproduces the idea that gestation and legal motherhood must coincide.</w:t>
      </w:r>
      <w:r>
        <w:rPr>
          <w:rStyle w:val="style38"/>
          <w:rFonts w:ascii="Times New Roman" w:cs="Times New Roman" w:eastAsia="Times New Roman" w:hAnsi="Times New Roman"/>
          <w:sz w:val="24"/>
          <w:szCs w:val="24"/>
          <w:lang w:val="en-US"/>
        </w:rPr>
        <w:footnoteReference w:id="582"/>
      </w:r>
    </w:p>
    <w:bookmarkStart w:id="84" w:name="_Toc233678289"/>
    <w:p w14:paraId="6A6A4D05">
      <w:pPr>
        <w:pStyle w:val="style3"/>
        <w:rPr>
          <w:lang w:val="en-US"/>
        </w:rPr>
      </w:pPr>
      <w:r>
        <w:rPr>
          <w:lang w:val="en-US"/>
        </w:rPr>
        <w:t xml:space="preserve">4.2.2 </w:t>
      </w:r>
      <w:r>
        <w:rPr>
          <w:lang w:val="en-US"/>
        </w:rPr>
        <w:tab/>
      </w:r>
      <w:r>
        <w:rPr>
          <w:lang w:val="en-US"/>
        </w:rPr>
        <w:t>Citizenship and Cross-Border Implications</w:t>
      </w:r>
      <w:bookmarkEnd w:id="84"/>
    </w:p>
    <w:p w14:paraId="42AD062F">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 xml:space="preserve">Under </w:t>
      </w:r>
      <w:r>
        <w:rPr>
          <w:rFonts w:ascii="Times New Roman" w:cs="Times New Roman" w:hAnsi="Times New Roman"/>
          <w:i/>
          <w:iCs/>
          <w:sz w:val="24"/>
          <w:szCs w:val="24"/>
        </w:rPr>
        <w:t>section 25 of the Constitution</w:t>
      </w:r>
      <w:r>
        <w:rPr>
          <w:rFonts w:ascii="Times New Roman" w:cs="Times New Roman" w:hAnsi="Times New Roman"/>
          <w:sz w:val="24"/>
          <w:szCs w:val="24"/>
        </w:rPr>
        <w:t>, citizenship by birth depends on descent and parentage, creating complications in surrogacy</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83"/>
      </w:r>
      <w:r>
        <w:rPr>
          <w:rFonts w:ascii="Times New Roman" w:cs="Times New Roman" w:eastAsia="Times New Roman" w:hAnsi="Times New Roman"/>
          <w:sz w:val="24"/>
          <w:szCs w:val="24"/>
          <w:lang w:val="en-US"/>
        </w:rPr>
        <w:t xml:space="preserve"> This creates difficulty in surrogacy. A child may be born abroad through surrogacy and be genetically related to Nigerian intended parents but not legally recognized as their child, or be born in Nigeria for foreign intended parents and fall between conflicting jurisdictions</w:t>
      </w:r>
      <w:r>
        <w:rPr>
          <w:rFonts w:ascii="Times New Roman" w:cs="Times New Roman" w:hAnsi="Times New Roman"/>
          <w:sz w:val="24"/>
          <w:szCs w:val="24"/>
        </w:rPr>
        <w:t>.</w:t>
      </w:r>
      <w:r>
        <w:rPr>
          <w:rStyle w:val="style38"/>
          <w:rFonts w:ascii="Times New Roman" w:cs="Times New Roman" w:eastAsia="Times New Roman" w:hAnsi="Times New Roman"/>
          <w:sz w:val="24"/>
          <w:szCs w:val="24"/>
          <w:lang w:val="en-US"/>
        </w:rPr>
        <w:footnoteReference w:id="584"/>
      </w:r>
      <w:r>
        <w:rPr>
          <w:rFonts w:ascii="Times New Roman" w:cs="Times New Roman" w:eastAsia="Times New Roman" w:hAnsi="Times New Roman"/>
          <w:sz w:val="24"/>
          <w:szCs w:val="24"/>
          <w:lang w:val="en-US"/>
        </w:rPr>
        <w:t xml:space="preserve"> The</w:t>
      </w:r>
      <w:r>
        <w:rPr>
          <w:rFonts w:ascii="Times New Roman" w:cs="Times New Roman" w:eastAsia="Times New Roman" w:hAnsi="Times New Roman"/>
          <w:i/>
          <w:iCs/>
          <w:sz w:val="24"/>
          <w:szCs w:val="24"/>
          <w:lang w:val="en-US"/>
        </w:rPr>
        <w:t xml:space="preserve"> Women's Health and Surrogacy Protection Bill 2025</w:t>
      </w:r>
      <w:r>
        <w:rPr>
          <w:rFonts w:ascii="Times New Roman" w:cs="Times New Roman" w:eastAsia="Times New Roman" w:hAnsi="Times New Roman"/>
          <w:sz w:val="24"/>
          <w:szCs w:val="24"/>
          <w:lang w:val="en-US"/>
        </w:rPr>
        <w:t xml:space="preserve"> does not address the recognition of foreign parentage orders or provide rules governing cross-border surrogacy, leaving ambiguities concerning legal parentage, citizenship, and nationality unaddressed. Cross-border surrogacy can lead to incomplete parentage, where intended parents hold legal recognition as the child's parents in one area but lack it in another. In the United Kingdom, parental orders conclusively establish legal parentage under domestic law, although their recognition abroad depends on the domestic laws or private international law rules of the receiving State. Across Europe, the absence of a uniform legal framework means that recognition is generally determined by national law, although the jurisprudence of the European Court of Human Rights has encouraged States to provide effective mechanisms for recognizing parentage in the best interests of the child. These uncertainties have made cross-border surrogacy the subject of international reform through the HCCH Parentage/Surrogacy Project</w:t>
      </w:r>
      <w:r>
        <w:rPr>
          <w:rFonts w:ascii="Times New Roman" w:cs="Times New Roman" w:hAnsi="Times New Roman"/>
          <w:sz w:val="24"/>
          <w:szCs w:val="24"/>
        </w:rPr>
        <w:t>,</w:t>
      </w:r>
      <w:r>
        <w:rPr>
          <w:rStyle w:val="style38"/>
          <w:rFonts w:ascii="Times New Roman" w:cs="Times New Roman" w:eastAsia="Times New Roman" w:hAnsi="Times New Roman"/>
          <w:sz w:val="24"/>
          <w:szCs w:val="24"/>
          <w:lang w:val="en-US"/>
        </w:rPr>
        <w:footnoteReference w:id="585"/>
      </w:r>
      <w:r>
        <w:rPr>
          <w:rFonts w:ascii="Times New Roman" w:cs="Times New Roman" w:eastAsia="Times New Roman" w:hAnsi="Times New Roman"/>
          <w:sz w:val="24"/>
          <w:szCs w:val="24"/>
          <w:lang w:val="en-US"/>
        </w:rPr>
        <w:t xml:space="preserve"> which continues to explore a convention on the recognition of parentage judgments, although no binding international instrument presently exist</w:t>
      </w:r>
      <w:r>
        <w:rPr>
          <w:rFonts w:ascii="Times New Roman" w:cs="Times New Roman" w:hAnsi="Times New Roman"/>
          <w:sz w:val="24"/>
          <w:szCs w:val="24"/>
        </w:rPr>
        <w:t>s</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86"/>
      </w:r>
    </w:p>
    <w:bookmarkStart w:id="85" w:name="_Toc233678290"/>
    <w:p w14:paraId="7B35DC73">
      <w:pPr>
        <w:pStyle w:val="style3"/>
        <w:rPr>
          <w:lang w:val="en-US"/>
        </w:rPr>
      </w:pPr>
      <w:r>
        <w:rPr>
          <w:lang w:val="en-US"/>
        </w:rPr>
        <w:t xml:space="preserve">4.2.3 </w:t>
      </w:r>
      <w:r>
        <w:rPr>
          <w:lang w:val="en-US"/>
        </w:rPr>
        <w:tab/>
      </w:r>
      <w:r>
        <w:rPr>
          <w:lang w:val="en-US"/>
        </w:rPr>
        <w:t>Maintenance Rights</w:t>
      </w:r>
      <w:bookmarkEnd w:id="85"/>
    </w:p>
    <w:p w14:paraId="5F87A8F2">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 xml:space="preserve">Maintenance depends on </w:t>
      </w:r>
      <w:r>
        <w:rPr>
          <w:rFonts w:ascii="Times New Roman" w:cs="Times New Roman" w:hAnsi="Times New Roman"/>
          <w:sz w:val="24"/>
          <w:szCs w:val="24"/>
          <w:lang w:val="en-US"/>
        </w:rPr>
        <w:t>recognized</w:t>
      </w:r>
      <w:r>
        <w:rPr>
          <w:rFonts w:ascii="Times New Roman" w:cs="Times New Roman" w:hAnsi="Times New Roman"/>
          <w:sz w:val="24"/>
          <w:szCs w:val="24"/>
        </w:rPr>
        <w:t xml:space="preserve"> parentage. While courts consider child welfare under the </w:t>
      </w:r>
      <w:r>
        <w:rPr>
          <w:rFonts w:ascii="Times New Roman" w:cs="Times New Roman" w:hAnsi="Times New Roman"/>
          <w:i/>
          <w:iCs/>
          <w:sz w:val="24"/>
          <w:szCs w:val="24"/>
        </w:rPr>
        <w:t>MCA and CRA</w:t>
      </w:r>
      <w:r>
        <w:rPr>
          <w:rFonts w:ascii="Times New Roman" w:cs="Times New Roman" w:hAnsi="Times New Roman"/>
          <w:sz w:val="24"/>
          <w:szCs w:val="24"/>
        </w:rPr>
        <w:t>, uncertainty makes liability unclear.</w:t>
      </w:r>
      <w:r>
        <w:rPr>
          <w:rStyle w:val="style38"/>
          <w:rFonts w:ascii="Times New Roman" w:cs="Times New Roman" w:eastAsia="Times New Roman" w:hAnsi="Times New Roman"/>
          <w:sz w:val="24"/>
          <w:szCs w:val="24"/>
          <w:lang w:val="en-US"/>
        </w:rPr>
        <w:footnoteReference w:id="587"/>
      </w:r>
      <w:r>
        <w:rPr>
          <w:rFonts w:ascii="Times New Roman" w:cs="Times New Roman" w:hAnsi="Times New Roman"/>
          <w:sz w:val="24"/>
          <w:szCs w:val="24"/>
        </w:rPr>
        <w:t>From a child-centred view, maintenance should attach to those who intended and assumed parental responsibility, not donors whose contribution was purely genetic.</w:t>
      </w:r>
      <w:r>
        <w:rPr>
          <w:rStyle w:val="style38"/>
          <w:rFonts w:ascii="Times New Roman" w:cs="Times New Roman" w:eastAsia="Times New Roman" w:hAnsi="Times New Roman"/>
          <w:sz w:val="24"/>
          <w:szCs w:val="24"/>
          <w:lang w:val="en-US"/>
        </w:rPr>
        <w:footnoteReference w:id="588"/>
      </w:r>
    </w:p>
    <w:bookmarkStart w:id="86" w:name="_Toc233678291"/>
    <w:p w14:paraId="0EBBE674">
      <w:pPr>
        <w:pStyle w:val="style3"/>
        <w:rPr>
          <w:lang w:val="en-US"/>
        </w:rPr>
      </w:pPr>
      <w:r>
        <w:rPr>
          <w:lang w:val="en-US"/>
        </w:rPr>
        <w:t xml:space="preserve">4.2.4 </w:t>
      </w:r>
      <w:r>
        <w:rPr>
          <w:lang w:val="en-US"/>
        </w:rPr>
        <w:tab/>
      </w:r>
      <w:r>
        <w:rPr>
          <w:lang w:val="en-US"/>
        </w:rPr>
        <w:t>Inheritance and Succession Rights</w:t>
      </w:r>
      <w:bookmarkEnd w:id="86"/>
    </w:p>
    <w:p w14:paraId="2F7E1857">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 xml:space="preserve">Inheritance and succession rights are among the most important legal incidents of parentage because succession depends on legally </w:t>
      </w:r>
      <w:r>
        <w:rPr>
          <w:rFonts w:ascii="Times New Roman" w:cs="Times New Roman" w:hAnsi="Times New Roman"/>
          <w:sz w:val="24"/>
          <w:szCs w:val="24"/>
          <w:lang w:val="en-US"/>
        </w:rPr>
        <w:t>recognizing</w:t>
      </w:r>
      <w:r>
        <w:rPr>
          <w:rFonts w:ascii="Times New Roman" w:cs="Times New Roman" w:hAnsi="Times New Roman"/>
          <w:sz w:val="24"/>
          <w:szCs w:val="24"/>
        </w:rPr>
        <w:t xml:space="preserve"> the child, issue, dependant, or beneficiary of the deceased</w:t>
      </w:r>
      <w:r>
        <w:rPr>
          <w:rFonts w:ascii="Times New Roman" w:cs="Times New Roman" w:eastAsia="Times New Roman" w:hAnsi="Times New Roman"/>
          <w:sz w:val="24"/>
          <w:szCs w:val="24"/>
          <w:lang w:val="en-US"/>
        </w:rPr>
        <w:t xml:space="preserve">. </w:t>
      </w:r>
      <w:r>
        <w:rPr>
          <w:rFonts w:ascii="Times New Roman" w:cs="Times New Roman" w:hAnsi="Times New Roman"/>
          <w:sz w:val="24"/>
          <w:szCs w:val="24"/>
        </w:rPr>
        <w:t xml:space="preserve"> Without recognition, surrogacy-born children risk exclusion from intestate succession. </w:t>
      </w:r>
      <w:r>
        <w:rPr>
          <w:rFonts w:ascii="Times New Roman" w:cs="Times New Roman" w:eastAsia="Times New Roman" w:hAnsi="Times New Roman"/>
          <w:sz w:val="24"/>
          <w:szCs w:val="24"/>
          <w:lang w:val="en-US"/>
        </w:rPr>
        <w:t xml:space="preserve">The courts in Nigeria have become protective of women and children once status as a child is established. In </w:t>
      </w:r>
      <w:r>
        <w:rPr>
          <w:rFonts w:ascii="Times New Roman" w:cs="Times New Roman" w:eastAsia="Times New Roman" w:hAnsi="Times New Roman"/>
          <w:bCs/>
          <w:i/>
          <w:iCs/>
          <w:sz w:val="24"/>
          <w:szCs w:val="24"/>
          <w:lang w:val="en-US"/>
        </w:rPr>
        <w:t>Ukeje v Ukeje</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589"/>
      </w:r>
      <w:r>
        <w:rPr>
          <w:rFonts w:ascii="Times New Roman" w:cs="Times New Roman" w:eastAsia="Times New Roman" w:hAnsi="Times New Roman"/>
          <w:sz w:val="24"/>
          <w:szCs w:val="24"/>
          <w:lang w:val="en-US"/>
        </w:rPr>
        <w:t xml:space="preserve"> the Supreme Court held that the Igbo customary rule which excludes female children from inheritance was inconsistent with the constitutional guarantee against discrimination. Similarly, </w:t>
      </w:r>
      <w:r>
        <w:rPr>
          <w:rFonts w:ascii="Times New Roman" w:cs="Times New Roman" w:eastAsia="Times New Roman" w:hAnsi="Times New Roman"/>
          <w:bCs/>
          <w:i/>
          <w:iCs/>
          <w:sz w:val="24"/>
          <w:szCs w:val="24"/>
          <w:lang w:val="en-US"/>
        </w:rPr>
        <w:t>Mojekwu v Mojekwu</w:t>
      </w:r>
      <w:r>
        <w:rPr>
          <w:rStyle w:val="style38"/>
          <w:rFonts w:ascii="Times New Roman" w:cs="Times New Roman" w:eastAsia="Times New Roman" w:hAnsi="Times New Roman"/>
          <w:bCs/>
          <w:sz w:val="24"/>
          <w:szCs w:val="24"/>
          <w:lang w:val="en-US"/>
        </w:rPr>
        <w:footnoteReference w:id="590"/>
      </w:r>
      <w:r>
        <w:rPr>
          <w:rFonts w:ascii="Times New Roman" w:cs="Times New Roman" w:eastAsia="Times New Roman" w:hAnsi="Times New Roman"/>
          <w:sz w:val="24"/>
          <w:szCs w:val="24"/>
          <w:lang w:val="en-US"/>
        </w:rPr>
        <w:t xml:space="preserve"> challenged discriminatory customary succession. In that sense, once one is accepted as a legal child, the law is unwilling to permit exclusion on discriminatory grounds.</w:t>
      </w:r>
    </w:p>
    <w:p w14:paraId="4AD6442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testate succession, the position is relatively straightforward but not without difficulty. Where a commissioning parent executes a valid will naming a surrogacy-born child as a beneficiary, testamentary intention ensures provision for the child, and a will can therefore function as a protective mechanism. Nonetheless, this does not completely address the problem, as it merely provides advantages to a specified beneficiary without establishing whether the child is legally acknowledged as the deceased’s offspring for all intents and purposes. It also does not stop disagreements from other family members who might contest the child's status, the legitimacy of the surrogacy agreement, or the deceased's wishes. Therefore, although a will can alleviate difficulties, it cannot replace a thorough legal structure regarding parentage.</w:t>
      </w:r>
      <w:r>
        <w:rPr>
          <w:rStyle w:val="style38"/>
          <w:rFonts w:ascii="Times New Roman" w:cs="Times New Roman" w:hAnsi="Times New Roman"/>
          <w:sz w:val="24"/>
          <w:szCs w:val="24"/>
        </w:rPr>
        <w:footnoteReference w:id="591"/>
      </w:r>
    </w:p>
    <w:p w14:paraId="382AD9C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problem is more pronounced in intestate succession, where distribution depends entirely on legally </w:t>
      </w:r>
      <w:r>
        <w:rPr>
          <w:rFonts w:ascii="Times New Roman" w:cs="Times New Roman" w:hAnsi="Times New Roman"/>
          <w:sz w:val="24"/>
          <w:szCs w:val="24"/>
          <w:lang w:val="en-US"/>
        </w:rPr>
        <w:t>recognized</w:t>
      </w:r>
      <w:r>
        <w:rPr>
          <w:rFonts w:ascii="Times New Roman" w:cs="Times New Roman" w:hAnsi="Times New Roman"/>
          <w:sz w:val="24"/>
          <w:szCs w:val="24"/>
        </w:rPr>
        <w:t xml:space="preserve"> family relationships. In such cases, a surrogacy-born child may face exclusion if the law has not clearly established the child as belonging to the commissioning parents. Inheritance disputes commonly arise where extended family members deny the claimant’s status as a legitimate child of the deceased, a risk heightened in surrogacy arrangements due to uncertainty in documentation, registration, or the secrecy surrounding the process.</w:t>
      </w:r>
      <w:r>
        <w:rPr>
          <w:rStyle w:val="style38"/>
          <w:rFonts w:ascii="Times New Roman" w:cs="Times New Roman" w:hAnsi="Times New Roman"/>
          <w:sz w:val="24"/>
          <w:szCs w:val="24"/>
        </w:rPr>
        <w:footnoteReference w:id="592"/>
      </w:r>
    </w:p>
    <w:p w14:paraId="710363D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Customary succession raises complications. Customary law in Nigeria often places heavy emphasis on bloodline. Legal Scholars confirm that succession under customary law is tied to lineage affiliation and accepted parent-child status.  In that sense, where a child is born through donor conception or gestational surrogacy, some family members may argue that the child lacks the requisite blood tie or does not belong fully to the lineage.</w:t>
      </w:r>
      <w:r>
        <w:rPr>
          <w:rStyle w:val="style38"/>
          <w:rFonts w:ascii="Times New Roman" w:cs="Times New Roman" w:hAnsi="Times New Roman"/>
          <w:sz w:val="24"/>
          <w:szCs w:val="24"/>
        </w:rPr>
        <w:footnoteReference w:id="593"/>
      </w:r>
    </w:p>
    <w:p w14:paraId="20116C68">
      <w:pPr>
        <w:pStyle w:val="style0"/>
        <w:spacing w:lineRule="auto" w:line="480"/>
        <w:jc w:val="both"/>
        <w:rPr>
          <w:rFonts w:ascii="Times New Roman" w:cs="Times New Roman" w:hAnsi="Times New Roman"/>
          <w:sz w:val="24"/>
          <w:szCs w:val="24"/>
        </w:rPr>
      </w:pPr>
    </w:p>
    <w:bookmarkStart w:id="87" w:name="_Toc233678292"/>
    <w:p w14:paraId="5BEFCA2C">
      <w:pPr>
        <w:pStyle w:val="style2"/>
        <w:rPr/>
      </w:pPr>
      <w:r>
        <w:t xml:space="preserve">4.3 </w:t>
      </w:r>
      <w:r>
        <w:tab/>
      </w:r>
      <w:r>
        <w:t>Challenges in Determining Parentage of Children Born through Surrogacy and ART</w:t>
      </w:r>
      <w:bookmarkEnd w:id="87"/>
    </w:p>
    <w:p w14:paraId="35189815">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This section discusses the challenges in determining the parentage of children born through Surrogacy and ART</w:t>
      </w:r>
      <w:r>
        <w:rPr>
          <w:rFonts w:ascii="Times New Roman" w:cs="Times New Roman" w:hAnsi="Times New Roman"/>
          <w:sz w:val="24"/>
          <w:szCs w:val="24"/>
          <w:lang w:val="en-US"/>
        </w:rPr>
        <w:t>.</w:t>
      </w:r>
    </w:p>
    <w:bookmarkStart w:id="88" w:name="_Toc233678293"/>
    <w:p w14:paraId="1C2273A8">
      <w:pPr>
        <w:pStyle w:val="style3"/>
        <w:rPr/>
      </w:pPr>
      <w:r>
        <w:t xml:space="preserve">4.3.1 </w:t>
      </w:r>
      <w:r>
        <w:tab/>
      </w:r>
      <w:r>
        <w:t>Conflict between Genetic, Gestational and Intentional Parenthood</w:t>
      </w:r>
      <w:bookmarkEnd w:id="88"/>
    </w:p>
    <w:p w14:paraId="73BD01DD">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conventional reproduction, genetic, gestational, and social/legal parenthood typically coincide</w:t>
      </w:r>
      <w:r>
        <w:rPr>
          <w:rFonts w:ascii="Times New Roman" w:cs="Times New Roman" w:hAnsi="Times New Roman"/>
          <w:sz w:val="24"/>
          <w:szCs w:val="24"/>
          <w:lang w:val="en-US"/>
        </w:rPr>
        <w:t>.T</w:t>
      </w:r>
      <w:r>
        <w:rPr>
          <w:rFonts w:ascii="Times New Roman" w:cs="Times New Roman" w:hAnsi="Times New Roman"/>
          <w:sz w:val="24"/>
          <w:szCs w:val="24"/>
        </w:rPr>
        <w:t>he birth mother is also the genetic and social mother, and fatherhood aligns through marriage or acknowledgment. ART and surrogacy disrupt this unity, as motherhood may be divided among genetic, gestational, intended, and social mothers. On the other hand, fatherhood may split between donor, husband, intending, and social father. Consequently, technological reproduction undermines the assumption that biology or childbirth alone determines parentage.</w:t>
      </w:r>
      <w:r>
        <w:rPr>
          <w:rStyle w:val="style38"/>
          <w:rFonts w:ascii="Times New Roman" w:cs="Times New Roman" w:hAnsi="Times New Roman"/>
          <w:sz w:val="24"/>
          <w:szCs w:val="24"/>
        </w:rPr>
        <w:footnoteReference w:id="594"/>
      </w:r>
    </w:p>
    <w:p w14:paraId="29943229">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In that sense, </w:t>
      </w:r>
      <w:r>
        <w:rPr>
          <w:rFonts w:ascii="Times New Roman" w:cs="Times New Roman" w:hAnsi="Times New Roman"/>
          <w:sz w:val="24"/>
          <w:szCs w:val="24"/>
          <w:lang w:val="en-US"/>
        </w:rPr>
        <w:t>t</w:t>
      </w:r>
      <w:r>
        <w:rPr>
          <w:rFonts w:ascii="Times New Roman" w:cs="Times New Roman" w:hAnsi="Times New Roman"/>
          <w:sz w:val="24"/>
          <w:szCs w:val="24"/>
        </w:rPr>
        <w:t xml:space="preserve">he gestational model </w:t>
      </w:r>
      <w:r>
        <w:rPr>
          <w:rFonts w:ascii="Times New Roman" w:cs="Times New Roman" w:hAnsi="Times New Roman"/>
          <w:sz w:val="24"/>
          <w:szCs w:val="24"/>
          <w:lang w:val="en-US"/>
        </w:rPr>
        <w:t>recognises</w:t>
      </w:r>
      <w:r>
        <w:rPr>
          <w:rFonts w:ascii="Times New Roman" w:cs="Times New Roman" w:hAnsi="Times New Roman"/>
          <w:sz w:val="24"/>
          <w:szCs w:val="24"/>
        </w:rPr>
        <w:t xml:space="preserve"> the woman who carries and delivers the child; the genetic model </w:t>
      </w:r>
      <w:r>
        <w:rPr>
          <w:rFonts w:ascii="Times New Roman" w:cs="Times New Roman" w:hAnsi="Times New Roman"/>
          <w:sz w:val="24"/>
          <w:szCs w:val="24"/>
          <w:lang w:val="en-US"/>
        </w:rPr>
        <w:t>prioritises</w:t>
      </w:r>
      <w:r>
        <w:rPr>
          <w:rFonts w:ascii="Times New Roman" w:cs="Times New Roman" w:hAnsi="Times New Roman"/>
          <w:sz w:val="24"/>
          <w:szCs w:val="24"/>
        </w:rPr>
        <w:t xml:space="preserve"> biology; and the intentional model focuses on those who initiate the arrangement. Comparative experience also demonstrates that there are difficulties which arise when surrogate mothers change their intentions after birth. The well-known </w:t>
      </w:r>
      <w:r>
        <w:rPr>
          <w:rFonts w:ascii="Times New Roman" w:cs="Times New Roman" w:hAnsi="Times New Roman"/>
          <w:i/>
          <w:iCs/>
          <w:sz w:val="24"/>
          <w:szCs w:val="24"/>
        </w:rPr>
        <w:t xml:space="preserve">Baby M </w:t>
      </w:r>
      <w:r>
        <w:rPr>
          <w:rFonts w:ascii="Times New Roman" w:cs="Times New Roman" w:hAnsi="Times New Roman"/>
          <w:sz w:val="24"/>
          <w:szCs w:val="24"/>
        </w:rPr>
        <w:t>dispute in the United States illustrates how conflicts between contractual arrangements, gestational involvement and parental claims create uncertainty regarding custody and legal parentage. Each has merit but is incomplete</w:t>
      </w:r>
      <w:r>
        <w:rPr>
          <w:rFonts w:ascii="Times New Roman" w:cs="Times New Roman" w:hAnsi="Times New Roman"/>
          <w:sz w:val="24"/>
          <w:szCs w:val="24"/>
          <w:lang w:val="en-US"/>
        </w:rPr>
        <w:t>. G</w:t>
      </w:r>
      <w:r>
        <w:rPr>
          <w:rFonts w:ascii="Times New Roman" w:cs="Times New Roman" w:hAnsi="Times New Roman"/>
          <w:sz w:val="24"/>
          <w:szCs w:val="24"/>
        </w:rPr>
        <w:t>estation values bodily labour but may ignore intention. Genetics appears objective but may elevate uninvolved donors. Intention reflects realities in the modern family but may over-contractuali</w:t>
      </w:r>
      <w:r>
        <w:rPr>
          <w:rFonts w:ascii="Times New Roman" w:cs="Times New Roman" w:hAnsi="Times New Roman"/>
          <w:sz w:val="24"/>
          <w:szCs w:val="24"/>
          <w:lang w:val="en-US"/>
        </w:rPr>
        <w:t>s</w:t>
      </w:r>
      <w:r>
        <w:rPr>
          <w:rFonts w:ascii="Times New Roman" w:cs="Times New Roman" w:hAnsi="Times New Roman"/>
          <w:sz w:val="24"/>
          <w:szCs w:val="24"/>
        </w:rPr>
        <w:t>e parenthood and neglect embodiment and child welfare.</w:t>
      </w:r>
      <w:r>
        <w:rPr>
          <w:rStyle w:val="style38"/>
          <w:rFonts w:ascii="Times New Roman" w:cs="Times New Roman" w:hAnsi="Times New Roman"/>
          <w:sz w:val="24"/>
          <w:szCs w:val="24"/>
        </w:rPr>
        <w:footnoteReference w:id="595"/>
      </w:r>
    </w:p>
    <w:p w14:paraId="33D33B3F">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This is highlighted by comparative experience from other jurisdiction. Disputes such as </w:t>
      </w:r>
      <w:r>
        <w:rPr>
          <w:rStyle w:val="style87"/>
          <w:rFonts w:ascii="Times New Roman" w:cs="Times New Roman" w:hAnsi="Times New Roman"/>
          <w:b w:val="false"/>
          <w:i/>
          <w:iCs/>
          <w:sz w:val="24"/>
          <w:szCs w:val="24"/>
          <w:lang w:val="en-US"/>
        </w:rPr>
        <w:t xml:space="preserve">In </w:t>
      </w:r>
      <w:r>
        <w:rPr>
          <w:rStyle w:val="style87"/>
          <w:rFonts w:ascii="Times New Roman" w:cs="Times New Roman" w:hAnsi="Times New Roman"/>
          <w:b w:val="false"/>
          <w:i/>
          <w:iCs/>
          <w:sz w:val="24"/>
          <w:szCs w:val="24"/>
        </w:rPr>
        <w:t>re Baby M</w:t>
      </w:r>
      <w:r>
        <w:rPr>
          <w:rFonts w:ascii="Times New Roman" w:cs="Times New Roman" w:hAnsi="Times New Roman"/>
          <w:sz w:val="24"/>
          <w:szCs w:val="24"/>
        </w:rPr>
        <w:t xml:space="preserve"> show how conflicts between contract, genetics, and gestation create uncertainty, especially where a surrogate changes her mind. Courts have responded in </w:t>
      </w:r>
      <w:r>
        <w:rPr>
          <w:rFonts w:ascii="Times New Roman" w:cs="Times New Roman" w:hAnsi="Times New Roman"/>
          <w:i/>
          <w:iCs/>
          <w:sz w:val="24"/>
          <w:szCs w:val="24"/>
        </w:rPr>
        <w:t xml:space="preserve">Johnson v Calvert </w:t>
      </w:r>
      <w:r>
        <w:rPr>
          <w:rFonts w:ascii="Times New Roman" w:cs="Times New Roman" w:hAnsi="Times New Roman"/>
          <w:sz w:val="24"/>
          <w:szCs w:val="24"/>
        </w:rPr>
        <w:t>differently</w:t>
      </w:r>
      <w:r>
        <w:rPr>
          <w:rFonts w:ascii="Times New Roman" w:cs="Times New Roman" w:hAnsi="Times New Roman"/>
          <w:i/>
          <w:iCs/>
          <w:sz w:val="24"/>
          <w:szCs w:val="24"/>
        </w:rPr>
        <w:t>,</w:t>
      </w:r>
      <w:r>
        <w:rPr>
          <w:rFonts w:ascii="Times New Roman" w:cs="Times New Roman" w:hAnsi="Times New Roman"/>
          <w:sz w:val="24"/>
          <w:szCs w:val="24"/>
        </w:rPr>
        <w:t xml:space="preserve"> intention prevailed in gestational surrogacy. On the other hand, in </w:t>
      </w:r>
      <w:r>
        <w:rPr>
          <w:rFonts w:ascii="Times New Roman" w:cs="Times New Roman" w:hAnsi="Times New Roman"/>
          <w:i/>
          <w:iCs/>
          <w:sz w:val="24"/>
          <w:szCs w:val="24"/>
        </w:rPr>
        <w:t xml:space="preserve">re Baby M </w:t>
      </w:r>
      <w:r>
        <w:rPr>
          <w:rFonts w:ascii="Times New Roman" w:cs="Times New Roman" w:hAnsi="Times New Roman"/>
          <w:sz w:val="24"/>
          <w:szCs w:val="24"/>
        </w:rPr>
        <w:t>rejected treating surrogacy as a simple contract, especially where the surrogate was also the genetic mother.</w:t>
      </w:r>
      <w:r>
        <w:rPr>
          <w:rStyle w:val="style38"/>
          <w:rFonts w:ascii="Times New Roman" w:cs="Times New Roman" w:hAnsi="Times New Roman"/>
          <w:sz w:val="24"/>
          <w:szCs w:val="24"/>
        </w:rPr>
        <w:footnoteReference w:id="596"/>
      </w:r>
      <w:r>
        <w:rPr>
          <w:rFonts w:ascii="Times New Roman" w:cs="Times New Roman" w:hAnsi="Times New Roman"/>
          <w:sz w:val="24"/>
          <w:szCs w:val="24"/>
        </w:rPr>
        <w:t xml:space="preserve"> </w:t>
      </w:r>
    </w:p>
    <w:p w14:paraId="52DEA69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Nigeria, the problem is compounded because there is no statutory regulation and this forces reliance on traditional doctrines unsuited to ART. As Obadina argues, the regulation of surrogacy in Nigeria is fragmented and this itself is part of the problem.</w:t>
      </w:r>
      <w:r>
        <w:rPr>
          <w:rStyle w:val="style38"/>
          <w:rFonts w:ascii="Times New Roman" w:cs="Times New Roman" w:hAnsi="Times New Roman"/>
          <w:sz w:val="24"/>
          <w:szCs w:val="24"/>
        </w:rPr>
        <w:footnoteReference w:id="597"/>
      </w:r>
    </w:p>
    <w:bookmarkStart w:id="89" w:name="_Toc233678294"/>
    <w:p w14:paraId="2587A8E5">
      <w:pPr>
        <w:pStyle w:val="style3"/>
        <w:rPr/>
      </w:pPr>
      <w:r>
        <w:t xml:space="preserve">4.3.2 </w:t>
      </w:r>
      <w:r>
        <w:tab/>
      </w:r>
      <w:r>
        <w:t>Fraud and Coercion</w:t>
      </w:r>
      <w:bookmarkEnd w:id="89"/>
    </w:p>
    <w:p w14:paraId="4A069629">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Surrogacy may mask inequality and misinformation</w:t>
      </w:r>
      <w:r>
        <w:rPr>
          <w:rFonts w:ascii="Times New Roman" w:cs="Times New Roman" w:hAnsi="Times New Roman"/>
          <w:sz w:val="24"/>
          <w:szCs w:val="24"/>
          <w:lang w:val="en-US"/>
        </w:rPr>
        <w:t>.S</w:t>
      </w:r>
      <w:r>
        <w:rPr>
          <w:rFonts w:ascii="Times New Roman" w:cs="Times New Roman" w:hAnsi="Times New Roman"/>
          <w:sz w:val="24"/>
          <w:szCs w:val="24"/>
        </w:rPr>
        <w:t>urrogates may not understand risks. On the other hand, intended parents may be misled about donors or clinics. In unregulated systems, coercion and fraud are more likely.</w:t>
      </w:r>
      <w:r>
        <w:rPr>
          <w:rStyle w:val="style38"/>
          <w:rFonts w:ascii="Times New Roman" w:cs="Times New Roman" w:hAnsi="Times New Roman"/>
          <w:sz w:val="24"/>
          <w:szCs w:val="24"/>
        </w:rPr>
        <w:footnoteReference w:id="598"/>
      </w:r>
      <w:r>
        <w:rPr>
          <w:rFonts w:ascii="Times New Roman" w:cs="Times New Roman" w:hAnsi="Times New Roman"/>
          <w:sz w:val="24"/>
          <w:szCs w:val="24"/>
        </w:rPr>
        <w:t xml:space="preserve"> Research shows exploitation is common where safeguards are absent, especially in contexts of poverty, stigma, and unequal legal access.</w:t>
      </w:r>
      <w:r>
        <w:rPr>
          <w:rStyle w:val="style38"/>
          <w:rFonts w:ascii="Times New Roman" w:cs="Times New Roman" w:hAnsi="Times New Roman"/>
          <w:sz w:val="24"/>
          <w:szCs w:val="24"/>
        </w:rPr>
        <w:footnoteReference w:id="599"/>
      </w:r>
    </w:p>
    <w:bookmarkStart w:id="90" w:name="_Toc233678295"/>
    <w:p w14:paraId="2AC8C258">
      <w:pPr>
        <w:pStyle w:val="style3"/>
        <w:rPr/>
      </w:pPr>
      <w:r>
        <w:t xml:space="preserve">4.3.3 </w:t>
      </w:r>
      <w:r>
        <w:tab/>
      </w:r>
      <w:r>
        <w:t>Exploitation in ART and Surrogacy Arrangements</w:t>
      </w:r>
      <w:bookmarkEnd w:id="90"/>
    </w:p>
    <w:p w14:paraId="0DF2C245">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Surrogacy involves intersecting vulnerabilities</w:t>
      </w:r>
      <w:r>
        <w:rPr>
          <w:rFonts w:ascii="Times New Roman" w:cs="Times New Roman" w:hAnsi="Times New Roman"/>
          <w:sz w:val="24"/>
          <w:szCs w:val="24"/>
          <w:lang w:val="en-US"/>
        </w:rPr>
        <w:t>, such as</w:t>
      </w:r>
      <w:r>
        <w:rPr>
          <w:rFonts w:ascii="Times New Roman" w:cs="Times New Roman" w:hAnsi="Times New Roman"/>
          <w:sz w:val="24"/>
          <w:szCs w:val="24"/>
        </w:rPr>
        <w:t xml:space="preserve"> reproductive desperation, economic hardship, and commercial incentives. Even with apparent consent, exploitation can occur. Scholars </w:t>
      </w:r>
      <w:r>
        <w:rPr>
          <w:rFonts w:ascii="Times New Roman" w:cs="Times New Roman" w:hAnsi="Times New Roman"/>
          <w:sz w:val="24"/>
          <w:szCs w:val="24"/>
          <w:lang w:val="en-US"/>
        </w:rPr>
        <w:t>emphasize</w:t>
      </w:r>
      <w:r>
        <w:rPr>
          <w:rFonts w:ascii="Times New Roman" w:cs="Times New Roman" w:hAnsi="Times New Roman"/>
          <w:sz w:val="24"/>
          <w:szCs w:val="24"/>
        </w:rPr>
        <w:t xml:space="preserve"> that prohibition alone is insufficient; regulation and safeguards are essential to protect women and children.</w:t>
      </w:r>
      <w:r>
        <w:rPr>
          <w:rStyle w:val="style38"/>
          <w:rFonts w:ascii="Times New Roman" w:cs="Times New Roman" w:hAnsi="Times New Roman"/>
          <w:sz w:val="24"/>
          <w:szCs w:val="24"/>
        </w:rPr>
        <w:footnoteReference w:id="600"/>
      </w:r>
    </w:p>
    <w:bookmarkStart w:id="91" w:name="_Toc233678296"/>
    <w:p w14:paraId="2E106B48">
      <w:pPr>
        <w:pStyle w:val="style3"/>
        <w:rPr/>
      </w:pPr>
      <w:r>
        <w:t xml:space="preserve">4.3.4 </w:t>
      </w:r>
      <w:r>
        <w:tab/>
      </w:r>
      <w:r>
        <w:t>Cross-Border Surrogacy and Conflict of Laws</w:t>
      </w:r>
      <w:bookmarkEnd w:id="91"/>
    </w:p>
    <w:p w14:paraId="5717167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Cross-border surrogacy creates conflict-of-laws problems which domestic law alone cannot resolve. A child may be conceived with gametes in one jurisdiction, carried in another, and intended to live in a third, each applying different rules</w:t>
      </w:r>
      <w:r>
        <w:rPr>
          <w:rFonts w:ascii="Times New Roman" w:cs="Times New Roman" w:hAnsi="Times New Roman"/>
          <w:sz w:val="24"/>
          <w:szCs w:val="24"/>
          <w:lang w:val="en-US"/>
        </w:rPr>
        <w:t>.O</w:t>
      </w:r>
      <w:r>
        <w:rPr>
          <w:rFonts w:ascii="Times New Roman" w:cs="Times New Roman" w:hAnsi="Times New Roman"/>
          <w:sz w:val="24"/>
          <w:szCs w:val="24"/>
        </w:rPr>
        <w:t xml:space="preserve">ne may </w:t>
      </w:r>
      <w:r>
        <w:rPr>
          <w:rFonts w:ascii="Times New Roman" w:cs="Times New Roman" w:hAnsi="Times New Roman"/>
          <w:sz w:val="24"/>
          <w:szCs w:val="24"/>
          <w:lang w:val="en-US"/>
        </w:rPr>
        <w:t>recognize</w:t>
      </w:r>
      <w:r>
        <w:rPr>
          <w:rFonts w:ascii="Times New Roman" w:cs="Times New Roman" w:hAnsi="Times New Roman"/>
          <w:sz w:val="24"/>
          <w:szCs w:val="24"/>
        </w:rPr>
        <w:t xml:space="preserve"> intended parents from the outset, another may treat the surrogate as the legal mother at birth.  On the other hand, another may reject surrogacy on public-policy grounds entirely. This produces fragmented or “limping” parentage, where a child is </w:t>
      </w:r>
      <w:r>
        <w:rPr>
          <w:rFonts w:ascii="Times New Roman" w:cs="Times New Roman" w:hAnsi="Times New Roman"/>
          <w:sz w:val="24"/>
          <w:szCs w:val="24"/>
          <w:lang w:val="en-US"/>
        </w:rPr>
        <w:t>recognised</w:t>
      </w:r>
      <w:r>
        <w:rPr>
          <w:rFonts w:ascii="Times New Roman" w:cs="Times New Roman" w:hAnsi="Times New Roman"/>
          <w:sz w:val="24"/>
          <w:szCs w:val="24"/>
        </w:rPr>
        <w:t xml:space="preserve"> in one country but not in another.</w:t>
      </w:r>
      <w:r>
        <w:rPr>
          <w:rStyle w:val="style38"/>
          <w:rFonts w:ascii="Times New Roman" w:cs="Times New Roman" w:hAnsi="Times New Roman"/>
          <w:sz w:val="24"/>
          <w:szCs w:val="24"/>
        </w:rPr>
        <w:footnoteReference w:id="601"/>
      </w:r>
      <w:r>
        <w:rPr>
          <w:rFonts w:ascii="Times New Roman" w:cs="Times New Roman" w:hAnsi="Times New Roman"/>
          <w:sz w:val="24"/>
          <w:szCs w:val="24"/>
        </w:rPr>
        <w:t>This issue is no longer marginal. The Hague Conference on Private International Law is engaged in efforts for global regulation, with a Working Group reviewing proposed clauses for a treaty on the acknowledgement of legal parentage, including international surrogacy arrangements.</w:t>
      </w:r>
      <w:r>
        <w:rPr>
          <w:rStyle w:val="style38"/>
          <w:rFonts w:ascii="Times New Roman" w:cs="Times New Roman" w:hAnsi="Times New Roman"/>
          <w:sz w:val="24"/>
          <w:szCs w:val="24"/>
        </w:rPr>
        <w:footnoteReference w:id="602"/>
      </w:r>
      <w:r>
        <w:rPr>
          <w:rFonts w:ascii="Times New Roman" w:cs="Times New Roman" w:hAnsi="Times New Roman"/>
          <w:sz w:val="24"/>
          <w:szCs w:val="24"/>
        </w:rPr>
        <w:t xml:space="preserve"> For Nigeria, this has two key implications. Firstly, domestic legal uncertainty encourages reproductive travel because intended parents seek more predictable regimes abroad. Secondly, when such children return to Nigeria or seek recognition of Nigerian parentage internationally, unresolved parentage questions create uncertainty in citizenship, passports, identity, and succession.</w:t>
      </w:r>
      <w:r>
        <w:rPr>
          <w:rStyle w:val="style38"/>
          <w:rFonts w:ascii="Times New Roman" w:cs="Times New Roman" w:hAnsi="Times New Roman"/>
          <w:sz w:val="24"/>
          <w:szCs w:val="24"/>
        </w:rPr>
        <w:footnoteReference w:id="603"/>
      </w:r>
    </w:p>
    <w:bookmarkStart w:id="92" w:name="_Toc233678297"/>
    <w:p w14:paraId="216BA22C">
      <w:pPr>
        <w:pStyle w:val="style3"/>
        <w:rPr/>
      </w:pPr>
      <w:r>
        <w:t xml:space="preserve">4.3.5 </w:t>
      </w:r>
      <w:r>
        <w:tab/>
      </w:r>
      <w:r>
        <w:t>Regulatory and Compliance Challenges</w:t>
      </w:r>
      <w:bookmarkEnd w:id="92"/>
    </w:p>
    <w:p w14:paraId="1ECA3EF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Nigeria’s problem is not a total absence of law but the lack of a coherent, unified, and enforceable framework. There is no comprehensive federal regime guiding clinics, registrars, intended parents, surrogates, or courts on how parentage should be determined and </w:t>
      </w:r>
      <w:r>
        <w:rPr>
          <w:rFonts w:ascii="Times New Roman" w:cs="Times New Roman" w:hAnsi="Times New Roman"/>
          <w:sz w:val="24"/>
          <w:szCs w:val="24"/>
          <w:lang w:val="en-US"/>
        </w:rPr>
        <w:t>regularized</w:t>
      </w:r>
      <w:r>
        <w:rPr>
          <w:rFonts w:ascii="Times New Roman" w:cs="Times New Roman" w:hAnsi="Times New Roman"/>
          <w:sz w:val="24"/>
          <w:szCs w:val="24"/>
        </w:rPr>
        <w:t>, resulting in systemic fragmentation. Consequently, compliance is uneven</w:t>
      </w:r>
      <w:r>
        <w:rPr>
          <w:rFonts w:ascii="Times New Roman" w:cs="Times New Roman" w:hAnsi="Times New Roman"/>
          <w:sz w:val="24"/>
          <w:szCs w:val="24"/>
          <w:lang w:val="en-US"/>
        </w:rPr>
        <w:t>.S</w:t>
      </w:r>
      <w:r>
        <w:rPr>
          <w:rFonts w:ascii="Times New Roman" w:cs="Times New Roman" w:hAnsi="Times New Roman"/>
          <w:sz w:val="24"/>
          <w:szCs w:val="24"/>
        </w:rPr>
        <w:t xml:space="preserve">ome clinics maintain proper records and clearly define roles, while others do not. Although the 2019 Lagos State guidelines attempt </w:t>
      </w:r>
      <w:r>
        <w:rPr>
          <w:rFonts w:ascii="Times New Roman" w:cs="Times New Roman" w:hAnsi="Times New Roman"/>
          <w:sz w:val="24"/>
          <w:szCs w:val="24"/>
          <w:lang w:val="en-US"/>
        </w:rPr>
        <w:t>standardization</w:t>
      </w:r>
      <w:r>
        <w:rPr>
          <w:rFonts w:ascii="Times New Roman" w:cs="Times New Roman" w:hAnsi="Times New Roman"/>
          <w:sz w:val="24"/>
          <w:szCs w:val="24"/>
        </w:rPr>
        <w:t>, they are territorially limited. As Obadina point</w:t>
      </w:r>
      <w:r>
        <w:rPr>
          <w:rFonts w:ascii="Times New Roman" w:cs="Times New Roman" w:hAnsi="Times New Roman"/>
          <w:sz w:val="24"/>
          <w:szCs w:val="24"/>
          <w:lang w:val="en-US"/>
        </w:rPr>
        <w:t>s</w:t>
      </w:r>
      <w:r>
        <w:rPr>
          <w:rFonts w:ascii="Times New Roman" w:cs="Times New Roman" w:hAnsi="Times New Roman"/>
          <w:sz w:val="24"/>
          <w:szCs w:val="24"/>
        </w:rPr>
        <w:t xml:space="preserve"> out, this fragmentation is a weakness in the current system.</w:t>
      </w:r>
      <w:r>
        <w:rPr>
          <w:rStyle w:val="style38"/>
          <w:rFonts w:ascii="Times New Roman" w:cs="Times New Roman" w:hAnsi="Times New Roman"/>
          <w:sz w:val="24"/>
          <w:szCs w:val="24"/>
        </w:rPr>
        <w:footnoteReference w:id="604"/>
      </w:r>
      <w:r>
        <w:rPr>
          <w:rFonts w:ascii="Times New Roman" w:cs="Times New Roman" w:hAnsi="Times New Roman"/>
          <w:sz w:val="24"/>
          <w:szCs w:val="24"/>
        </w:rPr>
        <w:t xml:space="preserve"> As Obagboye and others</w:t>
      </w:r>
      <w:r>
        <w:rPr>
          <w:rStyle w:val="style38"/>
          <w:rFonts w:ascii="Times New Roman" w:cs="Times New Roman" w:hAnsi="Times New Roman"/>
          <w:sz w:val="24"/>
          <w:szCs w:val="24"/>
        </w:rPr>
        <w:footnoteReference w:id="605"/>
      </w:r>
      <w:r>
        <w:rPr>
          <w:rFonts w:ascii="Times New Roman" w:cs="Times New Roman" w:hAnsi="Times New Roman"/>
          <w:sz w:val="24"/>
          <w:szCs w:val="24"/>
        </w:rPr>
        <w:t xml:space="preserve"> observe, </w:t>
      </w:r>
      <w:r>
        <w:rPr>
          <w:rFonts w:ascii="Times New Roman" w:cs="Times New Roman" w:hAnsi="Times New Roman"/>
          <w:sz w:val="24"/>
          <w:szCs w:val="24"/>
          <w:lang w:val="en-US"/>
        </w:rPr>
        <w:t>t</w:t>
      </w:r>
      <w:r>
        <w:rPr>
          <w:rFonts w:ascii="Times New Roman" w:cs="Times New Roman" w:hAnsi="Times New Roman"/>
          <w:sz w:val="24"/>
          <w:szCs w:val="24"/>
        </w:rPr>
        <w:t>his fragmentation also affects adjudication, as courts lack a statutory pathway. This leads to inconsistent decisions</w:t>
      </w:r>
      <w:r>
        <w:rPr>
          <w:rFonts w:ascii="Times New Roman" w:cs="Times New Roman" w:hAnsi="Times New Roman"/>
          <w:sz w:val="24"/>
          <w:szCs w:val="24"/>
          <w:lang w:val="en-US"/>
        </w:rPr>
        <w:t xml:space="preserve"> where </w:t>
      </w:r>
      <w:r>
        <w:rPr>
          <w:rFonts w:ascii="Times New Roman" w:cs="Times New Roman" w:hAnsi="Times New Roman"/>
          <w:sz w:val="24"/>
          <w:szCs w:val="24"/>
        </w:rPr>
        <w:t xml:space="preserve">some </w:t>
      </w:r>
      <w:r>
        <w:rPr>
          <w:rFonts w:ascii="Times New Roman" w:cs="Times New Roman" w:hAnsi="Times New Roman"/>
          <w:sz w:val="24"/>
          <w:szCs w:val="24"/>
          <w:lang w:val="en-US"/>
        </w:rPr>
        <w:t xml:space="preserve">prioritise </w:t>
      </w:r>
      <w:r>
        <w:rPr>
          <w:rFonts w:ascii="Times New Roman" w:cs="Times New Roman" w:hAnsi="Times New Roman"/>
          <w:sz w:val="24"/>
          <w:szCs w:val="24"/>
        </w:rPr>
        <w:t>genetics, others intention, and others birth</w:t>
      </w:r>
      <w:r>
        <w:rPr>
          <w:rFonts w:ascii="Times New Roman" w:cs="Times New Roman" w:hAnsi="Times New Roman"/>
          <w:sz w:val="24"/>
          <w:szCs w:val="24"/>
          <w:lang w:val="en-US"/>
        </w:rPr>
        <w:t xml:space="preserve"> and </w:t>
      </w:r>
      <w:r>
        <w:rPr>
          <w:rFonts w:ascii="Times New Roman" w:cs="Times New Roman" w:hAnsi="Times New Roman"/>
          <w:sz w:val="24"/>
          <w:szCs w:val="24"/>
        </w:rPr>
        <w:t>thereby undermine predictability and security in determining a child’s legal status.</w:t>
      </w:r>
      <w:r>
        <w:rPr>
          <w:rStyle w:val="style38"/>
          <w:rFonts w:ascii="Times New Roman" w:cs="Times New Roman" w:hAnsi="Times New Roman"/>
          <w:sz w:val="24"/>
          <w:szCs w:val="24"/>
        </w:rPr>
        <w:footnoteReference w:id="606"/>
      </w:r>
    </w:p>
    <w:bookmarkStart w:id="93" w:name="_Toc233678298"/>
    <w:p w14:paraId="1159559C">
      <w:pPr>
        <w:pStyle w:val="style3"/>
        <w:rPr/>
      </w:pPr>
      <w:r>
        <w:t xml:space="preserve">4.3.6 </w:t>
      </w:r>
      <w:r>
        <w:tab/>
      </w:r>
      <w:r>
        <w:t>Gaps in Legal Protection and Access to Remedies</w:t>
      </w:r>
      <w:bookmarkEnd w:id="93"/>
    </w:p>
    <w:p w14:paraId="2D359DA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The gaps are more pronounced in legal protection and access to remedies. Nigeria lacks a </w:t>
      </w:r>
      <w:r>
        <w:rPr>
          <w:rFonts w:ascii="Times New Roman" w:cs="Times New Roman" w:hAnsi="Times New Roman"/>
          <w:sz w:val="24"/>
          <w:szCs w:val="24"/>
          <w:lang w:val="en-US"/>
        </w:rPr>
        <w:t>specialised</w:t>
      </w:r>
      <w:r>
        <w:rPr>
          <w:rFonts w:ascii="Times New Roman" w:cs="Times New Roman" w:hAnsi="Times New Roman"/>
          <w:sz w:val="24"/>
          <w:szCs w:val="24"/>
        </w:rPr>
        <w:t xml:space="preserve">, child-centred mechanism for promptly </w:t>
      </w:r>
      <w:r>
        <w:rPr>
          <w:rFonts w:ascii="Times New Roman" w:cs="Times New Roman" w:hAnsi="Times New Roman"/>
          <w:sz w:val="24"/>
          <w:szCs w:val="24"/>
          <w:lang w:val="en-US"/>
        </w:rPr>
        <w:t>regularizing</w:t>
      </w:r>
      <w:r>
        <w:rPr>
          <w:rFonts w:ascii="Times New Roman" w:cs="Times New Roman" w:hAnsi="Times New Roman"/>
          <w:sz w:val="24"/>
          <w:szCs w:val="24"/>
        </w:rPr>
        <w:t xml:space="preserve"> parentage in ART and surrogacy. Unlike jurisdictions such as England and Wales, there is no system for parental order. Hence, parties rely on litigation, contractual arrangements, registration workarounds, or quasi-adoption solutions, all of which are burdensome procedurally and inadequate conceptually.</w:t>
      </w:r>
      <w:r>
        <w:rPr>
          <w:rStyle w:val="style38"/>
          <w:rFonts w:ascii="Times New Roman" w:cs="Times New Roman" w:hAnsi="Times New Roman"/>
          <w:sz w:val="24"/>
          <w:szCs w:val="24"/>
        </w:rPr>
        <w:footnoteReference w:id="607"/>
      </w:r>
      <w:r>
        <w:rPr>
          <w:rFonts w:ascii="Times New Roman" w:cs="Times New Roman" w:hAnsi="Times New Roman"/>
          <w:sz w:val="24"/>
          <w:szCs w:val="24"/>
        </w:rPr>
        <w:t xml:space="preserve"> Delay is harmful</w:t>
      </w:r>
      <w:r>
        <w:rPr>
          <w:rFonts w:ascii="Times New Roman" w:cs="Times New Roman" w:hAnsi="Times New Roman"/>
          <w:sz w:val="24"/>
          <w:szCs w:val="24"/>
          <w:lang w:val="en-US"/>
        </w:rPr>
        <w:t>,</w:t>
      </w:r>
      <w:r>
        <w:rPr>
          <w:rFonts w:ascii="Times New Roman" w:cs="Times New Roman" w:hAnsi="Times New Roman"/>
          <w:sz w:val="24"/>
          <w:szCs w:val="24"/>
        </w:rPr>
        <w:t xml:space="preserve"> where birth registration is uncertain or parentage disputed, the child remains legally vulnerable at a critical stage. As </w:t>
      </w:r>
      <w:r>
        <w:rPr>
          <w:rFonts w:ascii="Times New Roman" w:cs="Times New Roman" w:hAnsi="Times New Roman"/>
          <w:sz w:val="24"/>
          <w:szCs w:val="24"/>
          <w:lang w:val="en-US"/>
        </w:rPr>
        <w:t>emphasized</w:t>
      </w:r>
      <w:r>
        <w:rPr>
          <w:rFonts w:ascii="Times New Roman" w:cs="Times New Roman" w:hAnsi="Times New Roman"/>
          <w:sz w:val="24"/>
          <w:szCs w:val="24"/>
        </w:rPr>
        <w:t xml:space="preserve"> by international standards, registration, naming, documentation, and legal recognition are fundamental to a child’s identity, and any system which fails to secure these cannot be said to protect the child.</w:t>
      </w:r>
    </w:p>
    <w:bookmarkStart w:id="94" w:name="_Toc233678299"/>
    <w:p w14:paraId="22F4D5CD">
      <w:pPr>
        <w:pStyle w:val="style3"/>
        <w:rPr>
          <w:lang w:val="en-US"/>
        </w:rPr>
      </w:pPr>
      <w:r>
        <w:rPr>
          <w:lang w:val="en-US"/>
        </w:rPr>
        <w:t xml:space="preserve">4.3.7 </w:t>
      </w:r>
      <w:r>
        <w:rPr>
          <w:lang w:val="en-US"/>
        </w:rPr>
        <w:tab/>
      </w:r>
      <w:r>
        <w:rPr>
          <w:lang w:val="en-US"/>
        </w:rPr>
        <w:t>Influence of Customary and Informal Surrogacy Practices in Nigeria</w:t>
      </w:r>
      <w:bookmarkEnd w:id="94"/>
      <w:r>
        <w:rPr>
          <w:lang w:val="en-US"/>
        </w:rPr>
        <w:t xml:space="preserve"> </w:t>
      </w:r>
    </w:p>
    <w:p w14:paraId="18FB9AF1">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Customary practices further complicate parentage in ART and surrogacy. In parts of Igbo society, especially through the institution for female husband, a woman may assume the legal and social role of a husband and marry another woman to bear children for lineage continuity. Although not regarded as surrogacy, the arrangement separates gestation, social motherhood and legal parentage</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608"/>
      </w:r>
      <w:r>
        <w:rPr>
          <w:rFonts w:ascii="Times New Roman" w:cs="Times New Roman" w:hAnsi="Times New Roman"/>
          <w:sz w:val="24"/>
          <w:szCs w:val="24"/>
        </w:rPr>
        <w:t xml:space="preserve">As Amadiume and Nwoko observe, these practices demonstrate that customary law in Nigeria has long </w:t>
      </w:r>
      <w:r>
        <w:rPr>
          <w:rFonts w:ascii="Times New Roman" w:cs="Times New Roman" w:hAnsi="Times New Roman"/>
          <w:sz w:val="24"/>
          <w:szCs w:val="24"/>
          <w:lang w:val="en-US"/>
        </w:rPr>
        <w:t>recognised</w:t>
      </w:r>
      <w:r>
        <w:rPr>
          <w:rFonts w:ascii="Times New Roman" w:cs="Times New Roman" w:hAnsi="Times New Roman"/>
          <w:sz w:val="24"/>
          <w:szCs w:val="24"/>
        </w:rPr>
        <w:t xml:space="preserve"> forms of social parenthood in which children belong to the female husband's lineage for purposes of succession and family continuity.</w:t>
      </w:r>
      <w:r>
        <w:rPr>
          <w:rStyle w:val="style38"/>
          <w:rFonts w:ascii="Times New Roman" w:cs="Times New Roman" w:eastAsia="Times New Roman" w:hAnsi="Times New Roman"/>
          <w:sz w:val="24"/>
          <w:szCs w:val="24"/>
          <w:lang w:val="en-US"/>
        </w:rPr>
        <w:footnoteReference w:id="609"/>
      </w:r>
    </w:p>
    <w:p w14:paraId="1B6D15ED">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 xml:space="preserve">Mbaise provides another illustration, where fertility and lineage continuity are valued and childlessness is </w:t>
      </w:r>
      <w:r>
        <w:rPr>
          <w:rFonts w:ascii="Times New Roman" w:cs="Times New Roman" w:hAnsi="Times New Roman"/>
          <w:sz w:val="24"/>
          <w:szCs w:val="24"/>
          <w:lang w:val="en-US"/>
        </w:rPr>
        <w:t>stigmatized</w:t>
      </w:r>
      <w:r>
        <w:rPr>
          <w:rFonts w:ascii="Times New Roman" w:cs="Times New Roman" w:hAnsi="Times New Roman"/>
          <w:sz w:val="24"/>
          <w:szCs w:val="24"/>
        </w:rPr>
        <w:t>. Studies on the ewu-ukwu custom demonstrate the importance attached to childbearing</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610"/>
      </w:r>
      <w:r>
        <w:rPr>
          <w:rFonts w:ascii="Times New Roman" w:cs="Times New Roman" w:eastAsia="Times New Roman" w:hAnsi="Times New Roman"/>
          <w:sz w:val="24"/>
          <w:szCs w:val="24"/>
          <w:lang w:val="en-US"/>
        </w:rPr>
        <w:t xml:space="preserve">  T</w:t>
      </w:r>
      <w:r>
        <w:rPr>
          <w:rFonts w:ascii="Times New Roman" w:cs="Times New Roman" w:hAnsi="Times New Roman"/>
          <w:sz w:val="24"/>
          <w:szCs w:val="24"/>
        </w:rPr>
        <w:t>his suggests that surrogacy is not foreign to society in Nigeria; rather, what is novel is its medicalisation and commercialisation through IVF, embryo transfer, donor conception and clinic-based arrangements.</w:t>
      </w:r>
      <w:r>
        <w:rPr>
          <w:rStyle w:val="style38"/>
          <w:rFonts w:ascii="Times New Roman" w:cs="Times New Roman" w:eastAsia="Times New Roman" w:hAnsi="Times New Roman"/>
          <w:sz w:val="24"/>
          <w:szCs w:val="24"/>
          <w:lang w:val="en-US"/>
        </w:rPr>
        <w:footnoteReference w:id="611"/>
      </w:r>
      <w:r>
        <w:rPr>
          <w:rFonts w:ascii="Times New Roman" w:cs="Times New Roman" w:hAnsi="Times New Roman"/>
          <w:sz w:val="24"/>
          <w:szCs w:val="24"/>
        </w:rPr>
        <w:t xml:space="preserve"> However, these dynamics also intensify uncertainty. Parentage becomes rooted in lineage, representation, and social intention rather than gestation alone, complicating legal determination. Moreover, the stigma attached to infertility encourages secrecy around non-conventional reproduction.</w:t>
      </w:r>
      <w:r>
        <w:rPr>
          <w:rFonts w:ascii="Times New Roman" w:cs="Times New Roman" w:eastAsia="Times New Roman" w:hAnsi="Times New Roman"/>
          <w:sz w:val="24"/>
          <w:szCs w:val="24"/>
          <w:lang w:val="en-US"/>
        </w:rPr>
        <w:t xml:space="preserve"> As Ezenwa and others</w:t>
      </w:r>
      <w:r>
        <w:rPr>
          <w:rStyle w:val="style38"/>
          <w:rFonts w:ascii="Times New Roman" w:cs="Times New Roman" w:eastAsia="Times New Roman" w:hAnsi="Times New Roman"/>
          <w:sz w:val="24"/>
          <w:szCs w:val="24"/>
          <w:lang w:val="en-US"/>
        </w:rPr>
        <w:footnoteReference w:id="612"/>
      </w:r>
      <w:r>
        <w:rPr>
          <w:rFonts w:ascii="Times New Roman" w:cs="Times New Roman" w:eastAsia="Times New Roman" w:hAnsi="Times New Roman"/>
          <w:sz w:val="24"/>
          <w:szCs w:val="24"/>
          <w:lang w:val="en-US"/>
        </w:rPr>
        <w:t xml:space="preserve"> observe, s</w:t>
      </w:r>
      <w:r>
        <w:rPr>
          <w:rFonts w:ascii="Times New Roman" w:cs="Times New Roman" w:hAnsi="Times New Roman"/>
          <w:sz w:val="24"/>
          <w:szCs w:val="24"/>
        </w:rPr>
        <w:t>uch concealment obscures parentage, and where arrangements later break down or succession is contested, it may leave the child legally vulnerable</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613"/>
      </w:r>
    </w:p>
    <w:bookmarkStart w:id="95" w:name="_Toc233678300"/>
    <w:p w14:paraId="6F7BEEB5">
      <w:pPr>
        <w:pStyle w:val="style3"/>
        <w:rPr>
          <w:lang w:val="en-US"/>
        </w:rPr>
      </w:pPr>
      <w:r>
        <w:rPr>
          <w:lang w:val="en-US"/>
        </w:rPr>
        <w:t xml:space="preserve">4.3.8 </w:t>
      </w:r>
      <w:r>
        <w:rPr>
          <w:lang w:val="en-US"/>
        </w:rPr>
        <w:tab/>
      </w:r>
      <w:r>
        <w:rPr>
          <w:lang w:val="en-US"/>
        </w:rPr>
        <w:t>Religious and Cultural Perceptions of Surrogacy in Nigeria</w:t>
      </w:r>
      <w:bookmarkEnd w:id="95"/>
    </w:p>
    <w:p w14:paraId="52D2478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Religious and cultural beliefs also influence legal parentage in surrogacy and ART. In Nigeria, attitudes towards surrogacy are shaped by religion, kinship, motherhood, bloodline and legitimacy. These make these considerations indispensable to any regulatory framework</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614"/>
      </w:r>
      <w:r>
        <w:rPr>
          <w:rFonts w:ascii="Times New Roman" w:cs="Times New Roman" w:eastAsia="Times New Roman" w:hAnsi="Times New Roman"/>
          <w:sz w:val="24"/>
          <w:szCs w:val="24"/>
          <w:lang w:val="en-US"/>
        </w:rPr>
        <w:t xml:space="preserve"> </w:t>
      </w:r>
      <w:r>
        <w:rPr>
          <w:rFonts w:ascii="Times New Roman" w:cs="Times New Roman" w:hAnsi="Times New Roman"/>
          <w:sz w:val="24"/>
          <w:szCs w:val="24"/>
        </w:rPr>
        <w:t>Biblical narratives such as Hagar bearing a child for Sarah are sometimes cited as examples of surrogate-like arrangements</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615"/>
      </w:r>
      <w:r>
        <w:rPr>
          <w:rFonts w:ascii="Times New Roman" w:cs="Times New Roman" w:eastAsia="Times New Roman" w:hAnsi="Times New Roman"/>
          <w:sz w:val="24"/>
          <w:szCs w:val="24"/>
          <w:lang w:val="en-US"/>
        </w:rPr>
        <w:t xml:space="preserve"> </w:t>
      </w:r>
      <w:r>
        <w:rPr>
          <w:rFonts w:ascii="Times New Roman" w:cs="Times New Roman" w:hAnsi="Times New Roman"/>
          <w:sz w:val="24"/>
          <w:szCs w:val="24"/>
        </w:rPr>
        <w:t>However, scholars caution that these narratives should not be treated as endorsements of modern clinic-based surrogacy because they arose within very different social and theological contexts</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616"/>
      </w:r>
      <w:r>
        <w:rPr>
          <w:rFonts w:ascii="Times New Roman" w:cs="Times New Roman" w:hAnsi="Times New Roman"/>
          <w:sz w:val="24"/>
          <w:szCs w:val="24"/>
        </w:rPr>
        <w:t>Christianity often associates fertility with divine blessing,</w:t>
      </w:r>
      <w:r>
        <w:rPr>
          <w:rStyle w:val="style38"/>
          <w:rFonts w:ascii="Times New Roman" w:cs="Times New Roman" w:eastAsia="Times New Roman" w:hAnsi="Times New Roman"/>
          <w:sz w:val="24"/>
          <w:szCs w:val="24"/>
          <w:lang w:val="en-US"/>
        </w:rPr>
        <w:footnoteReference w:id="617"/>
      </w:r>
      <w:r>
        <w:rPr>
          <w:rFonts w:ascii="Times New Roman" w:cs="Times New Roman" w:hAnsi="Times New Roman"/>
          <w:sz w:val="24"/>
          <w:szCs w:val="24"/>
        </w:rPr>
        <w:t xml:space="preserve"> whereas Islamic law generally permits infertility treatment within marriage while restricting third-party reproduction.</w:t>
      </w:r>
      <w:r>
        <w:rPr>
          <w:rStyle w:val="style38"/>
          <w:rFonts w:ascii="Times New Roman" w:cs="Times New Roman" w:eastAsia="Times New Roman" w:hAnsi="Times New Roman"/>
          <w:sz w:val="24"/>
          <w:szCs w:val="24"/>
          <w:lang w:val="en-US"/>
        </w:rPr>
        <w:footnoteReference w:id="618"/>
      </w:r>
      <w:r>
        <w:rPr>
          <w:rFonts w:ascii="Times New Roman" w:cs="Times New Roman" w:hAnsi="Times New Roman"/>
          <w:sz w:val="24"/>
          <w:szCs w:val="24"/>
        </w:rPr>
        <w:t>These beliefs contribute to cautious attitudes towards surrogacy.</w:t>
      </w:r>
    </w:p>
    <w:p w14:paraId="78EB0F4E">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Culturally, traditions in Nigeria have long recognised forms of social parenthood and flexible lineage structures</w:t>
      </w:r>
      <w:r>
        <w:rPr>
          <w:rFonts w:ascii="Times New Roman" w:cs="Times New Roman" w:eastAsia="Times New Roman" w:hAnsi="Times New Roman"/>
          <w:sz w:val="24"/>
          <w:szCs w:val="24"/>
          <w:lang w:val="en-US"/>
        </w:rPr>
        <w:t>.</w:t>
      </w:r>
      <w:r>
        <w:rPr>
          <w:rStyle w:val="style38"/>
          <w:rFonts w:ascii="Times New Roman" w:cs="Times New Roman" w:eastAsia="Times New Roman" w:hAnsi="Times New Roman"/>
          <w:sz w:val="24"/>
          <w:szCs w:val="24"/>
          <w:lang w:val="en-US"/>
        </w:rPr>
        <w:footnoteReference w:id="619"/>
      </w:r>
      <w:r>
        <w:rPr>
          <w:rFonts w:ascii="Times New Roman" w:cs="Times New Roman" w:eastAsia="Times New Roman" w:hAnsi="Times New Roman"/>
          <w:sz w:val="24"/>
          <w:szCs w:val="24"/>
          <w:lang w:val="en-US"/>
        </w:rPr>
        <w:t xml:space="preserve"> Therefore, </w:t>
      </w:r>
      <w:r>
        <w:rPr>
          <w:rFonts w:ascii="Times New Roman" w:cs="Times New Roman" w:hAnsi="Times New Roman"/>
          <w:sz w:val="24"/>
          <w:szCs w:val="24"/>
        </w:rPr>
        <w:t>the controversy lies not in non-biological parenthood itself but in its medicalisation, contractual nature and possible commercialisation through modern ART. Studies, including those conducted among the Yoruba of Ado-Ekiti, show that surrogacy is assessed against ideals of womanhood, motherhood and family sanctity, with concerns that it disrupts traditional links between marriage, pregnancy and identity and it complicates the legal determination of parentage.</w:t>
      </w:r>
      <w:r>
        <w:rPr>
          <w:rStyle w:val="style38"/>
          <w:rFonts w:ascii="Times New Roman" w:cs="Times New Roman" w:eastAsia="Times New Roman" w:hAnsi="Times New Roman"/>
          <w:sz w:val="24"/>
          <w:szCs w:val="24"/>
          <w:lang w:val="en-US"/>
        </w:rPr>
        <w:footnoteReference w:id="620"/>
      </w:r>
    </w:p>
    <w:p w14:paraId="6DFB1C60">
      <w:pPr>
        <w:pStyle w:val="style0"/>
        <w:spacing w:lineRule="auto" w:line="480"/>
        <w:jc w:val="center"/>
        <w:rPr>
          <w:rFonts w:ascii="Times New Roman" w:cs="Times New Roman" w:eastAsia="Times New Roman" w:hAnsi="Times New Roman"/>
          <w:b/>
          <w:sz w:val="24"/>
          <w:szCs w:val="24"/>
        </w:rPr>
      </w:pPr>
    </w:p>
    <w:p w14:paraId="6494D676">
      <w:pPr>
        <w:pStyle w:val="style0"/>
        <w:spacing w:lineRule="auto" w:line="480"/>
        <w:jc w:val="both"/>
        <w:rPr>
          <w:rFonts w:ascii="Times New Roman" w:cs="Times New Roman" w:eastAsia="Times New Roman" w:hAnsi="Times New Roman"/>
          <w:b/>
          <w:sz w:val="24"/>
          <w:szCs w:val="24"/>
        </w:rPr>
      </w:pPr>
    </w:p>
    <w:p w14:paraId="4D808760">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br w:type="page"/>
      </w:r>
    </w:p>
    <w:bookmarkStart w:id="96" w:name="_Toc233678301"/>
    <w:p w14:paraId="3489CC09">
      <w:pPr>
        <w:pStyle w:val="style1"/>
        <w:rPr/>
      </w:pPr>
      <w:r>
        <w:t>CHAPTER FIVE</w:t>
      </w:r>
      <w:bookmarkEnd w:id="96"/>
    </w:p>
    <w:bookmarkStart w:id="97" w:name="_Toc233678302"/>
    <w:p w14:paraId="62206AD8">
      <w:pPr>
        <w:pStyle w:val="style1"/>
        <w:rPr/>
      </w:pPr>
      <w:r>
        <w:t>SUMMARY OF FINDINGS, RECOMMENDATION AND CONCLUSION</w:t>
      </w:r>
      <w:bookmarkEnd w:id="97"/>
    </w:p>
    <w:bookmarkStart w:id="98" w:name="_Toc233678303"/>
    <w:p w14:paraId="545CCFF2">
      <w:pPr>
        <w:pStyle w:val="style2"/>
        <w:rPr/>
      </w:pPr>
      <w:r>
        <w:t xml:space="preserve">5.1 </w:t>
      </w:r>
      <w:r>
        <w:tab/>
      </w:r>
      <w:r>
        <w:t>Summary of Findings</w:t>
      </w:r>
      <w:bookmarkEnd w:id="98"/>
      <w:r>
        <w:t xml:space="preserve"> </w:t>
      </w:r>
    </w:p>
    <w:p w14:paraId="6170B149">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This study examined the determination of legal parentage in children born through assisted reproductive technology (ART) and surrogacy in Nigeria and the reforms required to address existing gaps in legislation.</w:t>
      </w:r>
    </w:p>
    <w:p w14:paraId="7E8A2CF2">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First, it found that law for parentage in Nigeria remains grounded in common law and customary assumptions, where motherhood follows childbirth and fatherhood is established through marriage, acknowledgment or biology. ART and surrogacy separate genetic, gestational and intentional parenthood. These render these traditional presumptions inadequate for resolving disputes about parentage in recent times. </w:t>
      </w:r>
    </w:p>
    <w:p w14:paraId="7BFF84AE">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Secondly, Nigeria lacks a comprehensive statute which governs ART and surrogacy. Existing legislation, professional guidelines and institutional practices are fragmented and do not determine legal parentage. This creates uncertainty about birth registration, citizenship, custody, maintenance, inheritance, identity, succession and cross-border recognition. Moreso, there are no judicial precedent on surrogacy parentage. This increases legal unpredictability.</w:t>
      </w:r>
    </w:p>
    <w:p w14:paraId="30F587BA">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Thirdly, the study identified that there is tension between intention-based, genetic and gestational theories of parentage, contractual freedom, reproductive autonomy and the best interests of the child. Indeed, each approach has strengths. However, none provides a complete solution independently.</w:t>
      </w:r>
    </w:p>
    <w:p w14:paraId="5C9BD7C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Comparatively, </w:t>
      </w:r>
      <w:r>
        <w:rPr>
          <w:rFonts w:ascii="Times New Roman" w:cs="Times New Roman" w:hAnsi="Times New Roman"/>
          <w:i/>
          <w:iCs/>
          <w:sz w:val="24"/>
          <w:szCs w:val="24"/>
        </w:rPr>
        <w:t>South Africa's Children's Act 38 of 2005</w:t>
      </w:r>
      <w:r>
        <w:rPr>
          <w:rFonts w:ascii="Times New Roman" w:cs="Times New Roman" w:hAnsi="Times New Roman"/>
          <w:sz w:val="24"/>
          <w:szCs w:val="24"/>
        </w:rPr>
        <w:t xml:space="preserve"> provides a comprehensive framework by regulating surrogacy agreements, judicial approval, legal parentage, compensation and confidentiality. Although not without criticism, it offers useful legislative guidance for Nigeria.</w:t>
      </w:r>
    </w:p>
    <w:p w14:paraId="4B7AC4B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Finally, the study found that the deficiency in Nigeria is structural, not technical. There are no clear rules on legal parentage, consent, eligibility, birth registration and post-birth transfer of parentage. This leaves children and families dependent on inadequate alternatives such as contracts and adoption. This uncertainty also heightens risks of exploitation, trafficking and "baby factory" practices. Hence, there is  need for comprehensive legislation. </w:t>
      </w:r>
    </w:p>
    <w:bookmarkStart w:id="99" w:name="_Toc233678304"/>
    <w:p w14:paraId="61DC93BD">
      <w:pPr>
        <w:pStyle w:val="style2"/>
        <w:rPr>
          <w:lang w:val="en-US"/>
        </w:rPr>
      </w:pPr>
      <w:r>
        <w:rPr>
          <w:lang w:val="en-US"/>
        </w:rPr>
        <w:t xml:space="preserve">5.2 </w:t>
      </w:r>
      <w:r>
        <w:rPr>
          <w:lang w:val="en-US"/>
        </w:rPr>
        <w:tab/>
      </w:r>
      <w:r>
        <w:rPr>
          <w:lang w:val="en-US"/>
        </w:rPr>
        <w:t>Recommendations</w:t>
      </w:r>
      <w:bookmarkEnd w:id="99"/>
    </w:p>
    <w:p w14:paraId="2BB8006F">
      <w:pPr>
        <w:pStyle w:val="style0"/>
        <w:spacing w:lineRule="auto" w:line="480"/>
        <w:jc w:val="both"/>
        <w:rPr>
          <w:rFonts w:ascii="Times New Roman" w:cs="Times New Roman" w:eastAsia="Times New Roman" w:hAnsi="Times New Roman"/>
          <w:bCs/>
          <w:sz w:val="24"/>
          <w:szCs w:val="24"/>
          <w:lang w:val="en-US"/>
        </w:rPr>
      </w:pPr>
      <w:r>
        <w:rPr>
          <w:rFonts w:ascii="Times New Roman" w:cs="Times New Roman" w:eastAsia="Times New Roman" w:hAnsi="Times New Roman"/>
          <w:bCs/>
          <w:sz w:val="24"/>
          <w:szCs w:val="24"/>
          <w:lang w:val="en-US"/>
        </w:rPr>
        <w:t xml:space="preserve">Based on the above findings, the following recommendations are proposed. </w:t>
      </w:r>
    </w:p>
    <w:p w14:paraId="0E5E7607">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i. Enact Comprehensive Federal Legislation on Surrogacy and ART</w:t>
      </w:r>
    </w:p>
    <w:p w14:paraId="003B5666">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Nigeria should enact a federal legislation on surrogacy and ART, as current parentage</w:t>
      </w:r>
      <w:r>
        <w:rPr>
          <w:rFonts w:ascii="Times New Roman" w:cs="Times New Roman" w:hAnsi="Times New Roman"/>
          <w:sz w:val="24"/>
          <w:szCs w:val="24"/>
          <w:lang w:val="en-US"/>
        </w:rPr>
        <w:t xml:space="preserve"> laws </w:t>
      </w:r>
      <w:r>
        <w:rPr>
          <w:rFonts w:ascii="Times New Roman" w:cs="Times New Roman" w:hAnsi="Times New Roman"/>
          <w:sz w:val="24"/>
          <w:szCs w:val="24"/>
        </w:rPr>
        <w:t>are inadequate. The National Assembly should define key concepts</w:t>
      </w:r>
      <w:r>
        <w:rPr>
          <w:rFonts w:ascii="Times New Roman" w:cs="Times New Roman" w:hAnsi="Times New Roman"/>
          <w:sz w:val="24"/>
          <w:szCs w:val="24"/>
          <w:lang w:val="en-US"/>
        </w:rPr>
        <w:t xml:space="preserve"> such as </w:t>
      </w:r>
      <w:r>
        <w:rPr>
          <w:rFonts w:ascii="Times New Roman" w:cs="Times New Roman" w:hAnsi="Times New Roman"/>
          <w:sz w:val="24"/>
          <w:szCs w:val="24"/>
        </w:rPr>
        <w:t>surrogacy, ART, intended parents, surrogate mother, gamete/embryo donation, legal parentage, consent, birth registration, confidentiality, succession, and remedies. The law should focus not</w:t>
      </w:r>
      <w:r>
        <w:rPr>
          <w:rFonts w:ascii="Times New Roman" w:cs="Times New Roman" w:hAnsi="Times New Roman"/>
          <w:sz w:val="24"/>
          <w:szCs w:val="24"/>
          <w:lang w:val="en-US"/>
        </w:rPr>
        <w:t xml:space="preserve"> only</w:t>
      </w:r>
      <w:r>
        <w:rPr>
          <w:rFonts w:ascii="Times New Roman" w:cs="Times New Roman" w:hAnsi="Times New Roman"/>
          <w:sz w:val="24"/>
          <w:szCs w:val="24"/>
        </w:rPr>
        <w:t xml:space="preserve"> on medical regulation or banning unethical practices, but </w:t>
      </w:r>
      <w:r>
        <w:rPr>
          <w:rFonts w:ascii="Times New Roman" w:cs="Times New Roman" w:hAnsi="Times New Roman"/>
          <w:sz w:val="24"/>
          <w:szCs w:val="24"/>
          <w:lang w:val="en-US"/>
        </w:rPr>
        <w:t xml:space="preserve">also </w:t>
      </w:r>
      <w:r>
        <w:rPr>
          <w:rFonts w:ascii="Times New Roman" w:cs="Times New Roman" w:hAnsi="Times New Roman"/>
          <w:sz w:val="24"/>
          <w:szCs w:val="24"/>
        </w:rPr>
        <w:t>on resolving the core issue of legal parentage. It must provide that, once statutory safeguards are met, intended parent(s) are recognised as the child’s legal parents from birth or via a specified court or administrative order.</w:t>
      </w:r>
      <w:r>
        <w:rPr>
          <w:rFonts w:ascii="Times New Roman" w:cs="Times New Roman" w:hAnsi="Times New Roman"/>
          <w:sz w:val="24"/>
          <w:szCs w:val="24"/>
          <w:lang w:val="en-US"/>
        </w:rPr>
        <w:t xml:space="preserve"> The law should also adopt a court-supervised escrow account which requires receipts and periodic financial reports. The courts should approve only pregnancy-related expenses which are verified. In addition, the court should order the return of any excess funds to the intended parents. Rather than prescribing a fixed monetary limit (which may prove impractical due to inflation, regional cost variations and unforeseen medical expenses) the law should empower courts to determine reasonable expenses on the facts of each case.</w:t>
      </w:r>
    </w:p>
    <w:p w14:paraId="43209CB6">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ii. Create Parentage Transfer or Parental Order System</w:t>
      </w:r>
    </w:p>
    <w:p w14:paraId="25261D57">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Nigeria should establish a clear parentage-transfer mechanism, akin to parental orders in other jurisdictions. However, it should be tailored locally. Intended parents should apply to a designated court before or shortly after birth for an order and this should confirm legal parentage, extinguish the surrogate’s status where appropriate, and clarify donors’ roles. The process must be simple and time-bound. Courts should be empowered to refuse or modify orders in cases which involve exploitation, fraud, trafficking, coercion, or serious legal breaches.</w:t>
      </w:r>
    </w:p>
    <w:p w14:paraId="0A39D175">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iii. Reform of Birth Registration Procedures</w:t>
      </w:r>
    </w:p>
    <w:p w14:paraId="6BC5AAA6">
      <w:pPr>
        <w:pStyle w:val="style0"/>
        <w:spacing w:lineRule="auto" w:line="480"/>
        <w:jc w:val="both"/>
        <w:rPr>
          <w:rFonts w:ascii="Times New Roman" w:cs="Times New Roman" w:hAnsi="Times New Roman"/>
          <w:sz w:val="24"/>
          <w:szCs w:val="24"/>
        </w:rPr>
      </w:pPr>
      <w:r>
        <w:rPr>
          <w:rFonts w:ascii="Times New Roman" w:cs="Times New Roman" w:hAnsi="Times New Roman"/>
          <w:i/>
          <w:iCs/>
          <w:sz w:val="24"/>
          <w:szCs w:val="24"/>
        </w:rPr>
        <w:t>The Births, Deaths, etc. (Compulsory Registration) Act</w:t>
      </w:r>
      <w:r>
        <w:rPr>
          <w:rFonts w:ascii="Times New Roman" w:cs="Times New Roman" w:hAnsi="Times New Roman"/>
          <w:sz w:val="24"/>
          <w:szCs w:val="24"/>
        </w:rPr>
        <w:t xml:space="preserve"> should be amended to cover surrogacy and ART, as it assumes ordinary childbirth currently and it lacks a mechanism for recording intended parentage where the birth mother is not the legal mother. The law should create a process for registration which is clear. This would allow intended parents to be listed as legal parents on the birth certificate where a parentage order or valid surrogacy arrangement exists. At the same time, the state should retain records of the surrogate birth and any donor information to protect the identity interests of the child without disclosing reproductive details which are sensitive. The National Population Commission should issue standardised forms and guidelines for such registrations.</w:t>
      </w:r>
    </w:p>
    <w:p w14:paraId="135D7664">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iv. Clarify Legal Status of Gamete Donors</w:t>
      </w:r>
    </w:p>
    <w:p w14:paraId="2B631500">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A future surrogacy and ART statute should define the status of sperm, egg, and embryo donors clearly; thus, it should separate genetic contribution from legal parentage. Donors who provide gametes without intending to parent should not acquire parental rights or obligations solely due to biology, unless there is evidence of intended responsibility. However, donor information remains important for the medical history and welfare of the child. Accordingly, the law should regulate donor anonymity and ensure that records are kept properly. The law should also allow access to non-identifying medical information as well as specify the conditions under which a child may access donor details.</w:t>
      </w:r>
    </w:p>
    <w:p w14:paraId="65828B93">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v. Regulation and Accreditation of Fertility Clinics</w:t>
      </w:r>
    </w:p>
    <w:p w14:paraId="6C3F1D96">
      <w:pPr>
        <w:pStyle w:val="style0"/>
        <w:spacing w:lineRule="auto" w:line="480"/>
        <w:jc w:val="both"/>
        <w:rPr>
          <w:rFonts w:ascii="Times New Roman" w:cs="Times New Roman" w:eastAsia="Times New Roman" w:hAnsi="Times New Roman"/>
          <w:sz w:val="24"/>
          <w:szCs w:val="24"/>
          <w:lang w:val="en-US"/>
        </w:rPr>
      </w:pPr>
      <w:r>
        <w:rPr>
          <w:rFonts w:ascii="Times New Roman" w:cs="Times New Roman" w:hAnsi="Times New Roman"/>
          <w:sz w:val="24"/>
          <w:szCs w:val="24"/>
        </w:rPr>
        <w:t>The Federal and State Ministries of Health, the MDCN, and ethics bodies should set national standards for ART clinics which covers licensing, accreditation, informed consent, counselling, screening, record-keeping, donor management, embryo storage, confidentiality, and reporting. Clinics must not facilitate surrogacy without prior legal advice and counselling for parties. In addition, they must keep records (donors, surrogates, intended parents, procedures, consent, medical decisions) and it should preserved for a statutory period.  It should also be accessible</w:t>
      </w:r>
      <w:r>
        <w:rPr>
          <w:rFonts w:ascii="Times New Roman" w:cs="Times New Roman" w:hAnsi="Times New Roman"/>
          <w:sz w:val="24"/>
          <w:szCs w:val="24"/>
          <w:lang w:val="en-US"/>
        </w:rPr>
        <w:t xml:space="preserve">, </w:t>
      </w:r>
      <w:r>
        <w:rPr>
          <w:rFonts w:ascii="Times New Roman" w:cs="Times New Roman" w:hAnsi="Times New Roman"/>
          <w:sz w:val="24"/>
          <w:szCs w:val="24"/>
        </w:rPr>
        <w:t>subject to privacy for parentage, disputes, or child welfare. Sanctions should apply for illegal or coercive practices. A federal framework on cryopreservation should require informed consent (including posthumous use) in writing, impose storage limits which should be made renewable, establish a national register of clinics and reproductive material. It should also clarify the parentage rules for children born from stored or posthumously used material. These measures are feasible within existing health structures and it would provide certainty while reflecting the social and economic context in Nigeria.</w:t>
      </w:r>
    </w:p>
    <w:p w14:paraId="562B2DC3">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vi. Protect Surrogate Mothers from Exploitation</w:t>
      </w:r>
    </w:p>
    <w:p w14:paraId="12B0CAA4">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Surrogacy may involve unequal bargaining power. Hence, the law should mandate independent legal advice, psychological counselling, full medical disclosure, and truly voluntary consent for both surrogates and intended parents before approval. No arrangement should proceed without guidance on its legal, medical, psychological, and financial implications. Surrogates must receive medical care and they must also be protected from unreasonable or degrading control over their bodies. The law should prohibit commercial exploitation and trafficking and pregnancy-related costs, medical care, insurance, and lost earnings should also be reimbursed</w:t>
      </w:r>
      <w:r>
        <w:rPr>
          <w:rFonts w:ascii="Times New Roman" w:cs="Times New Roman" w:hAnsi="Times New Roman"/>
          <w:sz w:val="24"/>
          <w:szCs w:val="24"/>
          <w:lang w:val="en-US"/>
        </w:rPr>
        <w:t>. This protects</w:t>
      </w:r>
      <w:r>
        <w:rPr>
          <w:rFonts w:ascii="Times New Roman" w:cs="Times New Roman" w:hAnsi="Times New Roman"/>
          <w:sz w:val="24"/>
          <w:szCs w:val="24"/>
        </w:rPr>
        <w:t xml:space="preserve"> against commodification and also prevents financial burden on surrogate mothers.</w:t>
      </w:r>
    </w:p>
    <w:p w14:paraId="59A38275">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vii. Establish Specialised Regulatory Body or Coordinating Unit</w:t>
      </w:r>
    </w:p>
    <w:p w14:paraId="358D6F4A">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Nigeria should establish an ART and Surrogacy Regulatory Authority or at least a specialised unit within the Federal Ministry of Health in collaboration with the Ministry of Justice. This  body would register surrogacy arrangements, license clinics, maintain confidential records, issue guidelines, monitor compliance, and coordinate with the National Population Commission, NIMC, courts, immigration, and child welfare agencies. This would reduce fragmentation and ensure that there is medical, legal, and administrative oversight.</w:t>
      </w:r>
    </w:p>
    <w:p w14:paraId="1800381B">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viii. Regulation of Cross-Border Surrogacy Arrangements</w:t>
      </w:r>
    </w:p>
    <w:p w14:paraId="3C2DA632">
      <w:pPr>
        <w:pStyle w:val="style0"/>
        <w:spacing w:lineRule="auto" w:line="480"/>
        <w:jc w:val="both"/>
        <w:rPr>
          <w:rFonts w:ascii="Times New Roman" w:cs="Times New Roman" w:hAnsi="Times New Roman"/>
          <w:sz w:val="24"/>
          <w:szCs w:val="24"/>
          <w:lang w:val="en-US"/>
        </w:rPr>
      </w:pPr>
      <w:r>
        <w:rPr>
          <w:rFonts w:ascii="Times New Roman" w:cs="Times New Roman" w:hAnsi="Times New Roman"/>
          <w:sz w:val="24"/>
          <w:szCs w:val="24"/>
        </w:rPr>
        <w:t>Nigeria ought to establish regulations regarding cross-border surrogacy which must be definitive. This should address the acknowledgement of international contracts and parentage decrees, in addition to matters of citizenship, travel documentation, immigration, and the safeguarding of children. The goal is to ensure that children are not placed in a situation of legal ambiguity caused by differing national regulations.</w:t>
      </w:r>
    </w:p>
    <w:p w14:paraId="48B33B41">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ix. Judicial and Professional Training</w:t>
      </w:r>
    </w:p>
    <w:p w14:paraId="299ACB50">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Judges, lawyers, registrars, medical practitioners, fertility counsellors, and welfare officers should receive specialised training on surrogacy and ART, including genetics, gestation, intention, consent, reproductive autonomy, privacy, child welfare, the limits of DNA evidence, donor status, legal parentage, confidentiality, and cross-border surrogacy, to ensure disputes are resolved without reliance on outdated assumptions.</w:t>
      </w:r>
    </w:p>
    <w:p w14:paraId="29F986C2">
      <w:pPr>
        <w:pStyle w:val="style0"/>
        <w:spacing w:lineRule="auto" w:line="480"/>
        <w:jc w:val="both"/>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 xml:space="preserve">x. Public Awareness </w:t>
      </w:r>
    </w:p>
    <w:p w14:paraId="4A068674">
      <w:pPr>
        <w:pStyle w:val="style0"/>
        <w:spacing w:lineRule="auto" w:line="48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Public education on surrogacy and ART should accompany legal reform and this would reduce misconceptions and promote decision-making which is informed. Government agencies, professional bodies, religious leaders, civil society, and fertility clinics should educate the public on infertility, surrogacy, legal parentage, consent, and child rights. Moreso, they should also address the cultural and religious values that influence reproductive decisions in Nigeria.</w:t>
      </w:r>
    </w:p>
    <w:bookmarkStart w:id="100" w:name="_Toc233678305"/>
    <w:p w14:paraId="510562F5">
      <w:pPr>
        <w:pStyle w:val="style2"/>
        <w:rPr>
          <w:lang w:val="en-US"/>
        </w:rPr>
      </w:pPr>
      <w:r>
        <w:rPr>
          <w:lang w:val="en-US"/>
        </w:rPr>
        <w:t xml:space="preserve">5.3 </w:t>
      </w:r>
      <w:r>
        <w:rPr>
          <w:lang w:val="en-US"/>
        </w:rPr>
        <w:tab/>
      </w:r>
      <w:r>
        <w:rPr>
          <w:lang w:val="en-US"/>
        </w:rPr>
        <w:t>Conclusion</w:t>
      </w:r>
      <w:bookmarkEnd w:id="100"/>
    </w:p>
    <w:p w14:paraId="783D0896">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This study demonstrates that ART and surrogacy challenge traditional rules of parentage in Nigeria by separating genetics, gestation, intention and social parenting. Existing constitutional, child-rights, health, evidential and family-law provisions remain relevant. However, they do not resolve the legal status of children born through these technologies.</w:t>
      </w:r>
    </w:p>
    <w:p w14:paraId="09EACFAB">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The results in uncertainty and in turn it affects birth registration, citizenship, custody, maintenance, inheritance, identity, medical decision-making and succession. This exposes children and families to avoidable disputes and insecurity. Comparative experience, (especially from South Africa), shows that these challenges may be addressed through a statute together with judicial oversight.</w:t>
      </w:r>
    </w:p>
    <w:p w14:paraId="108C9F5A">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Ultimately, ART and surrogacy are established realities in Nigeria. The question is no longer whether they should be recognised. Rather, it is how they should be regulated. Hence, there is need for a thorough legal framework which safeguards the best interests of the child and also considers the rights and duties of intended parents, surrogate mothers, donors, and the State is thus essential and long overdue.</w:t>
      </w:r>
    </w:p>
    <w:p w14:paraId="6EF66312">
      <w:pPr>
        <w:pStyle w:val="style0"/>
        <w:spacing w:lineRule="auto" w:line="480"/>
        <w:jc w:val="both"/>
        <w:rPr>
          <w:rFonts w:ascii="Times New Roman" w:cs="Times New Roman" w:hAnsi="Times New Roman"/>
          <w:sz w:val="24"/>
          <w:szCs w:val="24"/>
        </w:rPr>
      </w:pPr>
    </w:p>
    <w:p w14:paraId="09D3A06D">
      <w:pPr>
        <w:pStyle w:val="style0"/>
        <w:spacing w:lineRule="auto" w:line="480"/>
        <w:jc w:val="both"/>
        <w:rPr>
          <w:rFonts w:ascii="Times New Roman" w:cs="Times New Roman" w:hAnsi="Times New Roman"/>
          <w:sz w:val="24"/>
          <w:szCs w:val="24"/>
        </w:rPr>
      </w:pPr>
    </w:p>
    <w:p w14:paraId="4DDBB3E9">
      <w:pPr>
        <w:pStyle w:val="style0"/>
        <w:spacing w:lineRule="auto" w:line="480"/>
        <w:jc w:val="both"/>
        <w:rPr>
          <w:rFonts w:ascii="Times New Roman" w:cs="Times New Roman" w:hAnsi="Times New Roman"/>
          <w:sz w:val="24"/>
          <w:szCs w:val="24"/>
        </w:rPr>
      </w:pPr>
    </w:p>
    <w:p w14:paraId="665831E7">
      <w:pPr>
        <w:pStyle w:val="style0"/>
        <w:spacing w:lineRule="auto" w:line="480"/>
        <w:jc w:val="both"/>
        <w:rPr>
          <w:rFonts w:ascii="Times New Roman" w:cs="Times New Roman" w:hAnsi="Times New Roman"/>
          <w:sz w:val="24"/>
          <w:szCs w:val="24"/>
        </w:rPr>
      </w:pPr>
    </w:p>
    <w:p w14:paraId="6D9F2F2B">
      <w:pPr>
        <w:pStyle w:val="style0"/>
        <w:spacing w:lineRule="auto" w:line="480"/>
        <w:jc w:val="both"/>
        <w:rPr>
          <w:rFonts w:ascii="Times New Roman" w:cs="Times New Roman" w:hAnsi="Times New Roman"/>
          <w:sz w:val="24"/>
          <w:szCs w:val="24"/>
        </w:rPr>
      </w:pPr>
    </w:p>
    <w:p w14:paraId="1A10DC9F">
      <w:pPr>
        <w:pStyle w:val="style0"/>
        <w:spacing w:after="0" w:lineRule="auto" w:line="240"/>
        <w:rPr>
          <w:rFonts w:ascii="Times New Roman" w:cs="Times New Roman" w:hAnsi="Times New Roman"/>
          <w:sz w:val="24"/>
          <w:szCs w:val="24"/>
        </w:rPr>
        <w:sectPr>
          <w:headerReference w:type="default" r:id="rId6"/>
          <w:footerReference w:type="default" r:id="rId7"/>
          <w:pgSz w:w="11907" w:h="16839" w:orient="portrait"/>
          <w:pgMar w:top="1440" w:right="1440" w:bottom="1440" w:left="1440" w:header="720" w:footer="720" w:gutter="0"/>
          <w:pgNumType w:start="1"/>
          <w:cols w:space="720" w:num="1"/>
          <w:docGrid w:linePitch="360" w:charSpace="0"/>
        </w:sectPr>
      </w:pPr>
      <w:r>
        <w:rPr>
          <w:rFonts w:ascii="Times New Roman" w:cs="Times New Roman" w:hAnsi="Times New Roman"/>
          <w:sz w:val="24"/>
          <w:szCs w:val="24"/>
        </w:rPr>
        <w:br w:type="page"/>
      </w:r>
    </w:p>
    <w:bookmarkStart w:id="101" w:name="_Toc233678306"/>
    <w:p w14:paraId="780FC28D">
      <w:pPr>
        <w:pStyle w:val="style1"/>
        <w:rPr/>
      </w:pPr>
      <w:r>
        <w:t>BIBLIOGRAPHY</w:t>
      </w:r>
      <w:bookmarkEnd w:id="101"/>
      <w:r>
        <w:t xml:space="preserve"> </w:t>
      </w:r>
    </w:p>
    <w:p w14:paraId="4CCDA3F9">
      <w:pPr>
        <w:pStyle w:val="style0"/>
        <w:rPr>
          <w:rFonts w:ascii="Times New Roman" w:cs="Times New Roman" w:hAnsi="Times New Roman"/>
          <w:b/>
          <w:sz w:val="24"/>
          <w:szCs w:val="24"/>
          <w:lang w:val="en-US"/>
        </w:rPr>
      </w:pPr>
      <w:r>
        <w:rPr>
          <w:rFonts w:ascii="Times New Roman" w:cs="Times New Roman" w:hAnsi="Times New Roman"/>
          <w:b/>
          <w:sz w:val="24"/>
          <w:szCs w:val="24"/>
          <w:lang w:val="en-US"/>
        </w:rPr>
        <w:t>Books</w:t>
      </w:r>
    </w:p>
    <w:p w14:paraId="619231C8">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Abiola, Abiade Olawanle, </w:t>
      </w:r>
      <w:r>
        <w:rPr>
          <w:rFonts w:ascii="Times New Roman" w:cs="Times New Roman" w:hAnsi="Times New Roman"/>
          <w:i/>
          <w:iCs/>
          <w:sz w:val="24"/>
          <w:szCs w:val="24"/>
          <w:lang w:val="en-US"/>
        </w:rPr>
        <w:t>Surrogacy Practice: An Alternative Path to Motherhood</w:t>
      </w:r>
      <w:r>
        <w:rPr>
          <w:rFonts w:ascii="Times New Roman" w:cs="Times New Roman" w:hAnsi="Times New Roman"/>
          <w:sz w:val="24"/>
          <w:szCs w:val="24"/>
          <w:lang w:val="en-US"/>
        </w:rPr>
        <w:t xml:space="preserve"> (Princeton &amp; Associates Publishing Co Ltd, 1st edn, 2024).</w:t>
      </w:r>
    </w:p>
    <w:p w14:paraId="7186DDB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Alghrani, Amel and Griffiths, Danielle, ‘Regulation of Surrogacy’ in Martin Richards, Jill Marshall and others (eds), </w:t>
      </w:r>
      <w:r>
        <w:rPr>
          <w:rFonts w:ascii="Times New Roman" w:cs="Times New Roman" w:hAnsi="Times New Roman"/>
          <w:i/>
          <w:iCs/>
          <w:sz w:val="24"/>
          <w:szCs w:val="24"/>
          <w:lang w:val="en-US"/>
        </w:rPr>
        <w:t>Human Rights and the Family</w:t>
      </w:r>
      <w:r>
        <w:rPr>
          <w:rFonts w:ascii="Times New Roman" w:cs="Times New Roman" w:hAnsi="Times New Roman"/>
          <w:sz w:val="24"/>
          <w:szCs w:val="24"/>
          <w:lang w:val="en-US"/>
        </w:rPr>
        <w:t xml:space="preserve"> (Routledge 2017).</w:t>
      </w:r>
    </w:p>
    <w:p w14:paraId="551F53E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Aristotle, </w:t>
      </w:r>
      <w:r>
        <w:rPr>
          <w:rFonts w:ascii="Times New Roman" w:cs="Times New Roman" w:hAnsi="Times New Roman"/>
          <w:i/>
          <w:iCs/>
          <w:sz w:val="24"/>
          <w:szCs w:val="24"/>
          <w:lang w:val="en-US"/>
        </w:rPr>
        <w:t>Nicomachean Ethics</w:t>
      </w:r>
      <w:r>
        <w:rPr>
          <w:rFonts w:ascii="Times New Roman" w:cs="Times New Roman" w:hAnsi="Times New Roman"/>
          <w:sz w:val="24"/>
          <w:szCs w:val="24"/>
          <w:lang w:val="en-US"/>
        </w:rPr>
        <w:t xml:space="preserve"> (Roger Crisp tr, Cambridge University Press 2000).</w:t>
      </w:r>
    </w:p>
    <w:p w14:paraId="16D0C10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Austin, John, </w:t>
      </w:r>
      <w:r>
        <w:rPr>
          <w:rFonts w:ascii="Times New Roman" w:cs="Times New Roman" w:hAnsi="Times New Roman"/>
          <w:i/>
          <w:iCs/>
          <w:sz w:val="24"/>
          <w:szCs w:val="24"/>
          <w:lang w:val="en-US"/>
        </w:rPr>
        <w:t>The Province of Jurisprudence Determined</w:t>
      </w:r>
      <w:r>
        <w:rPr>
          <w:rFonts w:ascii="Times New Roman" w:cs="Times New Roman" w:hAnsi="Times New Roman"/>
          <w:sz w:val="24"/>
          <w:szCs w:val="24"/>
          <w:lang w:val="en-US"/>
        </w:rPr>
        <w:t xml:space="preserve"> (Wilfrid E Rumble ed, Cambridge University Press 1995).</w:t>
      </w:r>
    </w:p>
    <w:p w14:paraId="7C54D2E1">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Bentham, Jeremy, ‘Anarchical Fallacies’ in John Bowring (ed), </w:t>
      </w:r>
      <w:r>
        <w:rPr>
          <w:rFonts w:ascii="Times New Roman" w:cs="Times New Roman" w:hAnsi="Times New Roman"/>
          <w:i/>
          <w:iCs/>
          <w:sz w:val="24"/>
          <w:szCs w:val="24"/>
          <w:lang w:val="en-US"/>
        </w:rPr>
        <w:t>The Works of Jeremy Bentham</w:t>
      </w:r>
      <w:r>
        <w:rPr>
          <w:rFonts w:ascii="Times New Roman" w:cs="Times New Roman" w:hAnsi="Times New Roman"/>
          <w:sz w:val="24"/>
          <w:szCs w:val="24"/>
          <w:lang w:val="en-US"/>
        </w:rPr>
        <w:t>, vol 2 (William Tait 1843).</w:t>
      </w:r>
    </w:p>
    <w:p w14:paraId="3A256E3F">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Bix, Brian H, </w:t>
      </w:r>
      <w:r>
        <w:rPr>
          <w:rFonts w:ascii="Times New Roman" w:cs="Times New Roman" w:hAnsi="Times New Roman"/>
          <w:i/>
          <w:iCs/>
          <w:sz w:val="24"/>
          <w:szCs w:val="24"/>
          <w:lang w:val="en-US"/>
        </w:rPr>
        <w:t>Jurisprudence: Theory and Context</w:t>
      </w:r>
      <w:r>
        <w:rPr>
          <w:rFonts w:ascii="Times New Roman" w:cs="Times New Roman" w:hAnsi="Times New Roman"/>
          <w:sz w:val="24"/>
          <w:szCs w:val="24"/>
          <w:lang w:val="en-US"/>
        </w:rPr>
        <w:t xml:space="preserve"> (8th edn, Sweet &amp; Maxwell 2019).</w:t>
      </w:r>
    </w:p>
    <w:p w14:paraId="5AF4E175">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Blackstone, William, </w:t>
      </w:r>
      <w:r>
        <w:rPr>
          <w:rFonts w:ascii="Times New Roman" w:cs="Times New Roman" w:hAnsi="Times New Roman"/>
          <w:i/>
          <w:iCs/>
          <w:sz w:val="24"/>
          <w:szCs w:val="24"/>
          <w:lang w:val="en-US"/>
        </w:rPr>
        <w:t>Commentaries on the Laws of England Book I</w:t>
      </w:r>
      <w:r>
        <w:rPr>
          <w:rFonts w:ascii="Times New Roman" w:cs="Times New Roman" w:hAnsi="Times New Roman"/>
          <w:sz w:val="24"/>
          <w:szCs w:val="24"/>
          <w:lang w:val="en-US"/>
        </w:rPr>
        <w:t xml:space="preserve"> (1765).</w:t>
      </w:r>
    </w:p>
    <w:p w14:paraId="79BC4DA3">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Brashier, Ralph C, </w:t>
      </w:r>
      <w:r>
        <w:rPr>
          <w:rFonts w:ascii="Times New Roman" w:cs="Times New Roman" w:hAnsi="Times New Roman"/>
          <w:i/>
          <w:iCs/>
          <w:sz w:val="24"/>
          <w:szCs w:val="24"/>
          <w:lang w:val="en-US"/>
        </w:rPr>
        <w:t>Children and Assisted Reproductive Technology: Parentage and Property Issues in the Age of Genetics</w:t>
      </w:r>
      <w:r>
        <w:rPr>
          <w:rFonts w:ascii="Times New Roman" w:cs="Times New Roman" w:hAnsi="Times New Roman"/>
          <w:sz w:val="24"/>
          <w:szCs w:val="24"/>
          <w:lang w:val="en-US"/>
        </w:rPr>
        <w:t xml:space="preserve"> (ABA Publishing 2004).</w:t>
      </w:r>
    </w:p>
    <w:p w14:paraId="4CB67E4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Brashier, Ralph C, </w:t>
      </w:r>
      <w:r>
        <w:rPr>
          <w:rFonts w:ascii="Times New Roman" w:cs="Times New Roman" w:hAnsi="Times New Roman"/>
          <w:i/>
          <w:iCs/>
          <w:sz w:val="24"/>
          <w:szCs w:val="24"/>
          <w:lang w:val="en-US"/>
        </w:rPr>
        <w:t>Inheritance Law and the Evolving Family</w:t>
      </w:r>
      <w:r>
        <w:rPr>
          <w:rFonts w:ascii="Times New Roman" w:cs="Times New Roman" w:hAnsi="Times New Roman"/>
          <w:sz w:val="24"/>
          <w:szCs w:val="24"/>
          <w:lang w:val="en-US"/>
        </w:rPr>
        <w:t xml:space="preserve"> (Temple University Press 2004).</w:t>
      </w:r>
    </w:p>
    <w:p w14:paraId="7F7B113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Brazier, Margaret and others, </w:t>
      </w:r>
      <w:r>
        <w:rPr>
          <w:rFonts w:ascii="Times New Roman" w:cs="Times New Roman" w:hAnsi="Times New Roman"/>
          <w:i/>
          <w:iCs/>
          <w:sz w:val="24"/>
          <w:szCs w:val="24"/>
          <w:lang w:val="en-US"/>
        </w:rPr>
        <w:t>Surrogacy: Review for Health Ministers of Current Arrangements for Payments and Regulation</w:t>
      </w:r>
      <w:r>
        <w:rPr>
          <w:rFonts w:ascii="Times New Roman" w:cs="Times New Roman" w:hAnsi="Times New Roman"/>
          <w:sz w:val="24"/>
          <w:szCs w:val="24"/>
          <w:lang w:val="en-US"/>
        </w:rPr>
        <w:t xml:space="preserve"> (Cm 4068, 1998).</w:t>
      </w:r>
    </w:p>
    <w:p w14:paraId="195A095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Cotterrell, Roger, </w:t>
      </w:r>
      <w:r>
        <w:rPr>
          <w:rFonts w:ascii="Times New Roman" w:cs="Times New Roman" w:hAnsi="Times New Roman"/>
          <w:i/>
          <w:iCs/>
          <w:sz w:val="24"/>
          <w:szCs w:val="24"/>
          <w:lang w:val="en-US"/>
        </w:rPr>
        <w:t>Sociological Jurisprudence: Juristic Thought and Social Inquiry</w:t>
      </w:r>
      <w:r>
        <w:rPr>
          <w:rFonts w:ascii="Times New Roman" w:cs="Times New Roman" w:hAnsi="Times New Roman"/>
          <w:sz w:val="24"/>
          <w:szCs w:val="24"/>
          <w:lang w:val="en-US"/>
        </w:rPr>
        <w:t xml:space="preserve"> (Routledge 2018).</w:t>
      </w:r>
    </w:p>
    <w:p w14:paraId="2ECF2AF1">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Cotterrell, Roger, </w:t>
      </w:r>
      <w:r>
        <w:rPr>
          <w:rFonts w:ascii="Times New Roman" w:cs="Times New Roman" w:hAnsi="Times New Roman"/>
          <w:i/>
          <w:iCs/>
          <w:sz w:val="24"/>
          <w:szCs w:val="24"/>
          <w:lang w:val="en-US"/>
        </w:rPr>
        <w:t>The Sociology of Law: An Introduction</w:t>
      </w:r>
      <w:r>
        <w:rPr>
          <w:rFonts w:ascii="Times New Roman" w:cs="Times New Roman" w:hAnsi="Times New Roman"/>
          <w:sz w:val="24"/>
          <w:szCs w:val="24"/>
          <w:lang w:val="en-US"/>
        </w:rPr>
        <w:t xml:space="preserve"> (2nd edn, Butterworths 1992).</w:t>
      </w:r>
    </w:p>
    <w:p w14:paraId="0722E46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Daar, Judith and others, </w:t>
      </w:r>
      <w:r>
        <w:rPr>
          <w:rFonts w:ascii="Times New Roman" w:cs="Times New Roman" w:hAnsi="Times New Roman"/>
          <w:i/>
          <w:iCs/>
          <w:sz w:val="24"/>
          <w:szCs w:val="24"/>
          <w:lang w:val="en-US"/>
        </w:rPr>
        <w:t>Reproductive Technologies and the Law</w:t>
      </w:r>
      <w:r>
        <w:rPr>
          <w:rFonts w:ascii="Times New Roman" w:cs="Times New Roman" w:hAnsi="Times New Roman"/>
          <w:sz w:val="24"/>
          <w:szCs w:val="24"/>
          <w:lang w:val="en-US"/>
        </w:rPr>
        <w:t xml:space="preserve"> (3rd edn, Carolina Academic Press 2022).</w:t>
      </w:r>
    </w:p>
    <w:p w14:paraId="13E28855">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Ehrensaft, Diane, </w:t>
      </w:r>
      <w:r>
        <w:rPr>
          <w:rFonts w:ascii="Times New Roman" w:cs="Times New Roman" w:hAnsi="Times New Roman"/>
          <w:i/>
          <w:iCs/>
          <w:sz w:val="24"/>
          <w:szCs w:val="24"/>
          <w:lang w:val="en-US"/>
        </w:rPr>
        <w:t>Mommies, Daddies, Donors, Surrogates: Answering Tough Questions and Building Strong Families</w:t>
      </w:r>
      <w:r>
        <w:rPr>
          <w:rFonts w:ascii="Times New Roman" w:cs="Times New Roman" w:hAnsi="Times New Roman"/>
          <w:sz w:val="24"/>
          <w:szCs w:val="24"/>
          <w:lang w:val="en-US"/>
        </w:rPr>
        <w:t xml:space="preserve"> (The Guilford Press 2005).</w:t>
      </w:r>
    </w:p>
    <w:p w14:paraId="29E4B40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Ehrlich, Eugen, </w:t>
      </w:r>
      <w:r>
        <w:rPr>
          <w:rFonts w:ascii="Times New Roman" w:cs="Times New Roman" w:hAnsi="Times New Roman"/>
          <w:i/>
          <w:iCs/>
          <w:sz w:val="24"/>
          <w:szCs w:val="24"/>
          <w:lang w:val="en-US"/>
        </w:rPr>
        <w:t>Fundamental Principles of the Sociology of Law</w:t>
      </w:r>
      <w:r>
        <w:rPr>
          <w:rFonts w:ascii="Times New Roman" w:cs="Times New Roman" w:hAnsi="Times New Roman"/>
          <w:sz w:val="24"/>
          <w:szCs w:val="24"/>
          <w:lang w:val="en-US"/>
        </w:rPr>
        <w:t xml:space="preserve"> (Walter L Moll tr, Harvard University Press 1936).</w:t>
      </w:r>
    </w:p>
    <w:p w14:paraId="2F5484A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Faculty of Law, Godfrey Okoye University Enugu, </w:t>
      </w:r>
      <w:r>
        <w:rPr>
          <w:rFonts w:ascii="Times New Roman" w:cs="Times New Roman" w:hAnsi="Times New Roman"/>
          <w:i/>
          <w:iCs/>
          <w:sz w:val="24"/>
          <w:szCs w:val="24"/>
          <w:lang w:val="en-US"/>
        </w:rPr>
        <w:t>Guidebook for LL.B Legal Research Writing</w:t>
      </w:r>
      <w:r>
        <w:rPr>
          <w:rFonts w:ascii="Times New Roman" w:cs="Times New Roman" w:hAnsi="Times New Roman"/>
          <w:sz w:val="24"/>
          <w:szCs w:val="24"/>
          <w:lang w:val="en-US"/>
        </w:rPr>
        <w:t xml:space="preserve"> (Godfrey Okoye University 2023).</w:t>
      </w:r>
    </w:p>
    <w:p w14:paraId="11EE3EE3">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Finnis, John, </w:t>
      </w:r>
      <w:r>
        <w:rPr>
          <w:rFonts w:ascii="Times New Roman" w:cs="Times New Roman" w:hAnsi="Times New Roman"/>
          <w:i/>
          <w:iCs/>
          <w:sz w:val="24"/>
          <w:szCs w:val="24"/>
          <w:lang w:val="en-US"/>
        </w:rPr>
        <w:t>Natural Law and Natural Rights</w:t>
      </w:r>
      <w:r>
        <w:rPr>
          <w:rFonts w:ascii="Times New Roman" w:cs="Times New Roman" w:hAnsi="Times New Roman"/>
          <w:sz w:val="24"/>
          <w:szCs w:val="24"/>
          <w:lang w:val="en-US"/>
        </w:rPr>
        <w:t xml:space="preserve"> (2nd edn, Oxford University Press 2011).</w:t>
      </w:r>
    </w:p>
    <w:p w14:paraId="15B94A4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Freeman, Michael, </w:t>
      </w:r>
      <w:r>
        <w:rPr>
          <w:rFonts w:ascii="Times New Roman" w:cs="Times New Roman" w:hAnsi="Times New Roman"/>
          <w:i/>
          <w:iCs/>
          <w:sz w:val="24"/>
          <w:szCs w:val="24"/>
          <w:lang w:val="en-US"/>
        </w:rPr>
        <w:t>Lloyd’s Introduction to Jurisprudence</w:t>
      </w:r>
      <w:r>
        <w:rPr>
          <w:rFonts w:ascii="Times New Roman" w:cs="Times New Roman" w:hAnsi="Times New Roman"/>
          <w:sz w:val="24"/>
          <w:szCs w:val="24"/>
          <w:lang w:val="en-US"/>
        </w:rPr>
        <w:t xml:space="preserve"> (9th edn, Sweet &amp; Maxwell 2014).</w:t>
      </w:r>
    </w:p>
    <w:p w14:paraId="6D31B78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Glenn, H Patrick, </w:t>
      </w:r>
      <w:r>
        <w:rPr>
          <w:rFonts w:ascii="Times New Roman" w:cs="Times New Roman" w:hAnsi="Times New Roman"/>
          <w:i/>
          <w:iCs/>
          <w:sz w:val="24"/>
          <w:szCs w:val="24"/>
          <w:lang w:val="en-US"/>
        </w:rPr>
        <w:t>Legal Traditions of the World</w:t>
      </w:r>
      <w:r>
        <w:rPr>
          <w:rFonts w:ascii="Times New Roman" w:cs="Times New Roman" w:hAnsi="Times New Roman"/>
          <w:sz w:val="24"/>
          <w:szCs w:val="24"/>
          <w:lang w:val="en-US"/>
        </w:rPr>
        <w:t xml:space="preserve"> (5th edn, Oxford University Press 2014).</w:t>
      </w:r>
    </w:p>
    <w:p w14:paraId="791EF1D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Goldstein, Joseph, Freud, Anna and Solnit, Albert, </w:t>
      </w:r>
      <w:r>
        <w:rPr>
          <w:rFonts w:ascii="Times New Roman" w:cs="Times New Roman" w:hAnsi="Times New Roman"/>
          <w:i/>
          <w:iCs/>
          <w:sz w:val="24"/>
          <w:szCs w:val="24"/>
          <w:lang w:val="en-US"/>
        </w:rPr>
        <w:t>Beyond the Best Interests of the Child</w:t>
      </w:r>
      <w:r>
        <w:rPr>
          <w:rFonts w:ascii="Times New Roman" w:cs="Times New Roman" w:hAnsi="Times New Roman"/>
          <w:sz w:val="24"/>
          <w:szCs w:val="24"/>
          <w:lang w:val="en-US"/>
        </w:rPr>
        <w:t xml:space="preserve"> (Free Press 1973).</w:t>
      </w:r>
    </w:p>
    <w:p w14:paraId="135BEBE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Golombok, Susan, </w:t>
      </w:r>
      <w:r>
        <w:rPr>
          <w:rFonts w:ascii="Times New Roman" w:cs="Times New Roman" w:hAnsi="Times New Roman"/>
          <w:i/>
          <w:iCs/>
          <w:sz w:val="24"/>
          <w:szCs w:val="24"/>
          <w:lang w:val="en-US"/>
        </w:rPr>
        <w:t>Modern Families: Parents and Children in New Family Forms</w:t>
      </w:r>
      <w:r>
        <w:rPr>
          <w:rFonts w:ascii="Times New Roman" w:cs="Times New Roman" w:hAnsi="Times New Roman"/>
          <w:sz w:val="24"/>
          <w:szCs w:val="24"/>
          <w:lang w:val="en-US"/>
        </w:rPr>
        <w:t xml:space="preserve"> (Cambridge University Press 2015).</w:t>
      </w:r>
    </w:p>
    <w:p w14:paraId="581E23AD">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Hart, HLA, </w:t>
      </w:r>
      <w:r>
        <w:rPr>
          <w:rFonts w:ascii="Times New Roman" w:cs="Times New Roman" w:hAnsi="Times New Roman"/>
          <w:i/>
          <w:iCs/>
          <w:sz w:val="24"/>
          <w:szCs w:val="24"/>
          <w:lang w:val="en-US"/>
        </w:rPr>
        <w:t>The Concept of Law</w:t>
      </w:r>
      <w:r>
        <w:rPr>
          <w:rFonts w:ascii="Times New Roman" w:cs="Times New Roman" w:hAnsi="Times New Roman"/>
          <w:sz w:val="24"/>
          <w:szCs w:val="24"/>
          <w:lang w:val="en-US"/>
        </w:rPr>
        <w:t xml:space="preserve"> (3rd edn, Oxford University Press 2012).</w:t>
      </w:r>
    </w:p>
    <w:p w14:paraId="1D02841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Herring, Jonathan, </w:t>
      </w:r>
      <w:r>
        <w:rPr>
          <w:rFonts w:ascii="Times New Roman" w:cs="Times New Roman" w:hAnsi="Times New Roman"/>
          <w:i/>
          <w:iCs/>
          <w:sz w:val="24"/>
          <w:szCs w:val="24"/>
          <w:lang w:val="en-US"/>
        </w:rPr>
        <w:t>Family Law</w:t>
      </w:r>
      <w:r>
        <w:rPr>
          <w:rFonts w:ascii="Times New Roman" w:cs="Times New Roman" w:hAnsi="Times New Roman"/>
          <w:sz w:val="24"/>
          <w:szCs w:val="24"/>
          <w:lang w:val="en-US"/>
        </w:rPr>
        <w:t xml:space="preserve"> (10th edn, Pearson 2022).</w:t>
      </w:r>
    </w:p>
    <w:p w14:paraId="7FC0CB0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Hill, Michael R, </w:t>
      </w:r>
      <w:r>
        <w:rPr>
          <w:rFonts w:ascii="Times New Roman" w:cs="Times New Roman" w:hAnsi="Times New Roman"/>
          <w:i/>
          <w:iCs/>
          <w:sz w:val="24"/>
          <w:szCs w:val="24"/>
          <w:lang w:val="en-US"/>
        </w:rPr>
        <w:t>Roscoe Pound’s Sociological Library: The Foundations of American Sociological Jurisprudence</w:t>
      </w:r>
      <w:r>
        <w:rPr>
          <w:rFonts w:ascii="Times New Roman" w:cs="Times New Roman" w:hAnsi="Times New Roman"/>
          <w:sz w:val="24"/>
          <w:szCs w:val="24"/>
          <w:lang w:val="en-US"/>
        </w:rPr>
        <w:t xml:space="preserve"> (Public Administration Series No P-2632, Vance Bibliographies 1989).</w:t>
      </w:r>
    </w:p>
    <w:p w14:paraId="7F939833">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Ihugba, Uzoma, </w:t>
      </w:r>
      <w:r>
        <w:rPr>
          <w:rFonts w:ascii="Times New Roman" w:cs="Times New Roman" w:hAnsi="Times New Roman"/>
          <w:i/>
          <w:iCs/>
          <w:sz w:val="24"/>
          <w:szCs w:val="24"/>
          <w:lang w:val="en-US"/>
        </w:rPr>
        <w:t>Introduction to Legal Research Method and Project Writing</w:t>
      </w:r>
      <w:r>
        <w:rPr>
          <w:rFonts w:ascii="Times New Roman" w:cs="Times New Roman" w:hAnsi="Times New Roman"/>
          <w:sz w:val="24"/>
          <w:szCs w:val="24"/>
          <w:lang w:val="en-US"/>
        </w:rPr>
        <w:t xml:space="preserve"> (Prince and Princess Publishers 2020).</w:t>
      </w:r>
    </w:p>
    <w:p w14:paraId="798CBDF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Jackson, Emily, </w:t>
      </w:r>
      <w:r>
        <w:rPr>
          <w:rFonts w:ascii="Times New Roman" w:cs="Times New Roman" w:hAnsi="Times New Roman"/>
          <w:i/>
          <w:iCs/>
          <w:sz w:val="24"/>
          <w:szCs w:val="24"/>
          <w:lang w:val="en-US"/>
        </w:rPr>
        <w:t>Medical Law: Text, Cases, and Materials</w:t>
      </w:r>
      <w:r>
        <w:rPr>
          <w:rFonts w:ascii="Times New Roman" w:cs="Times New Roman" w:hAnsi="Times New Roman"/>
          <w:sz w:val="24"/>
          <w:szCs w:val="24"/>
          <w:lang w:val="en-US"/>
        </w:rPr>
        <w:t xml:space="preserve"> (Oxford University Press 2016).</w:t>
      </w:r>
    </w:p>
    <w:p w14:paraId="71E14D01">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Leiter, Brian, </w:t>
      </w:r>
      <w:r>
        <w:rPr>
          <w:rFonts w:ascii="Times New Roman" w:cs="Times New Roman" w:hAnsi="Times New Roman"/>
          <w:i/>
          <w:iCs/>
          <w:sz w:val="24"/>
          <w:szCs w:val="24"/>
          <w:lang w:val="en-US"/>
        </w:rPr>
        <w:t>Naturalizing Jurisprudence</w:t>
      </w:r>
      <w:r>
        <w:rPr>
          <w:rFonts w:ascii="Times New Roman" w:cs="Times New Roman" w:hAnsi="Times New Roman"/>
          <w:sz w:val="24"/>
          <w:szCs w:val="24"/>
          <w:lang w:val="en-US"/>
        </w:rPr>
        <w:t xml:space="preserve"> (Oxford University Press 2007).</w:t>
      </w:r>
    </w:p>
    <w:p w14:paraId="6782C7BF">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Olomojobi, Yinka, </w:t>
      </w:r>
      <w:r>
        <w:rPr>
          <w:rFonts w:ascii="Times New Roman" w:cs="Times New Roman" w:hAnsi="Times New Roman"/>
          <w:i/>
          <w:iCs/>
          <w:sz w:val="24"/>
          <w:szCs w:val="24"/>
          <w:lang w:val="en-US"/>
        </w:rPr>
        <w:t>Medical and Health Law</w:t>
      </w:r>
      <w:r>
        <w:rPr>
          <w:rFonts w:ascii="Times New Roman" w:cs="Times New Roman" w:hAnsi="Times New Roman"/>
          <w:sz w:val="24"/>
          <w:szCs w:val="24"/>
          <w:lang w:val="en-US"/>
        </w:rPr>
        <w:t xml:space="preserve"> (Princeton &amp; Associates Publishing Co Ltd 2019).</w:t>
      </w:r>
    </w:p>
    <w:p w14:paraId="7CA83897">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Probert, Rebecca, </w:t>
      </w:r>
      <w:r>
        <w:rPr>
          <w:rFonts w:ascii="Times New Roman" w:cs="Times New Roman" w:hAnsi="Times New Roman"/>
          <w:i/>
          <w:iCs/>
          <w:sz w:val="24"/>
          <w:szCs w:val="24"/>
          <w:lang w:val="en-US"/>
        </w:rPr>
        <w:t>Families, Law and Society</w:t>
      </w:r>
      <w:r>
        <w:rPr>
          <w:rFonts w:ascii="Times New Roman" w:cs="Times New Roman" w:hAnsi="Times New Roman"/>
          <w:sz w:val="24"/>
          <w:szCs w:val="24"/>
          <w:lang w:val="en-US"/>
        </w:rPr>
        <w:t xml:space="preserve"> (Sweet &amp; Maxwell 2015).</w:t>
      </w:r>
    </w:p>
    <w:p w14:paraId="172D9B65">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Satz, Debra, </w:t>
      </w:r>
      <w:r>
        <w:rPr>
          <w:rFonts w:ascii="Times New Roman" w:cs="Times New Roman" w:hAnsi="Times New Roman"/>
          <w:i/>
          <w:iCs/>
          <w:sz w:val="24"/>
          <w:szCs w:val="24"/>
          <w:lang w:val="en-US"/>
        </w:rPr>
        <w:t>Why Some Things Should Not Be for Sale: The Moral Limits of Markets</w:t>
      </w:r>
      <w:r>
        <w:rPr>
          <w:rFonts w:ascii="Times New Roman" w:cs="Times New Roman" w:hAnsi="Times New Roman"/>
          <w:sz w:val="24"/>
          <w:szCs w:val="24"/>
          <w:lang w:val="en-US"/>
        </w:rPr>
        <w:t xml:space="preserve"> (Oxford University Press 2010).</w:t>
      </w:r>
    </w:p>
    <w:p w14:paraId="4A842E1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Serour, Gamal I, ‘Assisted Reproductive Technology: Islamic Perspective’ in Effy Vayena, Patrick J Rowe and P David Griffin (eds), </w:t>
      </w:r>
      <w:r>
        <w:rPr>
          <w:rFonts w:ascii="Times New Roman" w:cs="Times New Roman" w:hAnsi="Times New Roman"/>
          <w:i/>
          <w:iCs/>
          <w:sz w:val="24"/>
          <w:szCs w:val="24"/>
          <w:lang w:val="en-US"/>
        </w:rPr>
        <w:t>Assisted Reproduction</w:t>
      </w:r>
      <w:r>
        <w:rPr>
          <w:rFonts w:ascii="Times New Roman" w:cs="Times New Roman" w:hAnsi="Times New Roman"/>
          <w:sz w:val="24"/>
          <w:szCs w:val="24"/>
          <w:lang w:val="en-US"/>
        </w:rPr>
        <w:t xml:space="preserve"> (World Health Organization 2002).</w:t>
      </w:r>
    </w:p>
    <w:p w14:paraId="14FF84AE">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Sosson, J and Willems, G, ‘Parentage, Parenthood and Parental Responsibility in Traditional Families’ in J Sosson, G Willems and G Motte (eds), </w:t>
      </w:r>
      <w:r>
        <w:rPr>
          <w:rFonts w:ascii="Times New Roman" w:cs="Times New Roman" w:hAnsi="Times New Roman"/>
          <w:i/>
          <w:iCs/>
          <w:sz w:val="24"/>
          <w:szCs w:val="24"/>
          <w:lang w:val="en-US"/>
        </w:rPr>
        <w:t>Adults and Children in Postmodern Societies: A Comparative Law and Multidisciplinary Handbook</w:t>
      </w:r>
      <w:r>
        <w:rPr>
          <w:rFonts w:ascii="Times New Roman" w:cs="Times New Roman" w:hAnsi="Times New Roman"/>
          <w:sz w:val="24"/>
          <w:szCs w:val="24"/>
          <w:lang w:val="en-US"/>
        </w:rPr>
        <w:t xml:space="preserve"> (Intersentia 2019).</w:t>
      </w:r>
    </w:p>
    <w:p w14:paraId="4930EFCC">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Tobin, John, </w:t>
      </w:r>
      <w:r>
        <w:rPr>
          <w:rFonts w:ascii="Times New Roman" w:cs="Times New Roman" w:hAnsi="Times New Roman"/>
          <w:i/>
          <w:iCs/>
          <w:sz w:val="24"/>
          <w:szCs w:val="24"/>
          <w:lang w:val="en-US"/>
        </w:rPr>
        <w:t>The UN Convention on the Rights of the Child: A Commentary</w:t>
      </w:r>
      <w:r>
        <w:rPr>
          <w:rFonts w:ascii="Times New Roman" w:cs="Times New Roman" w:hAnsi="Times New Roman"/>
          <w:sz w:val="24"/>
          <w:szCs w:val="24"/>
          <w:lang w:val="en-US"/>
        </w:rPr>
        <w:t xml:space="preserve"> (Oxford University Press 2019).</w:t>
      </w:r>
    </w:p>
    <w:p w14:paraId="264A226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Trimmings, Katarina and Beaumont, Paul, </w:t>
      </w:r>
      <w:r>
        <w:rPr>
          <w:rFonts w:ascii="Times New Roman" w:cs="Times New Roman" w:hAnsi="Times New Roman"/>
          <w:i/>
          <w:iCs/>
          <w:sz w:val="24"/>
          <w:szCs w:val="24"/>
          <w:lang w:val="en-US"/>
        </w:rPr>
        <w:t>International Surrogacy Arrangements</w:t>
      </w:r>
      <w:r>
        <w:rPr>
          <w:rFonts w:ascii="Times New Roman" w:cs="Times New Roman" w:hAnsi="Times New Roman"/>
          <w:sz w:val="24"/>
          <w:szCs w:val="24"/>
          <w:lang w:val="en-US"/>
        </w:rPr>
        <w:t xml:space="preserve"> (Hart Publishing 2013).</w:t>
      </w:r>
    </w:p>
    <w:p w14:paraId="548BDCD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Trimmings, Katarina and others (eds), </w:t>
      </w:r>
      <w:r>
        <w:rPr>
          <w:rFonts w:ascii="Times New Roman" w:cs="Times New Roman" w:hAnsi="Times New Roman"/>
          <w:i/>
          <w:iCs/>
          <w:sz w:val="24"/>
          <w:szCs w:val="24"/>
          <w:lang w:val="en-US"/>
        </w:rPr>
        <w:t>Research Handbook on Surrogacy and the Law</w:t>
      </w:r>
      <w:r>
        <w:rPr>
          <w:rFonts w:ascii="Times New Roman" w:cs="Times New Roman" w:hAnsi="Times New Roman"/>
          <w:sz w:val="24"/>
          <w:szCs w:val="24"/>
          <w:lang w:val="en-US"/>
        </w:rPr>
        <w:t xml:space="preserve"> (Edward Elgar Publishing 2024).</w:t>
      </w:r>
    </w:p>
    <w:p w14:paraId="0D79F73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Twining, William, </w:t>
      </w:r>
      <w:r>
        <w:rPr>
          <w:rFonts w:ascii="Times New Roman" w:cs="Times New Roman" w:hAnsi="Times New Roman"/>
          <w:i/>
          <w:iCs/>
          <w:sz w:val="24"/>
          <w:szCs w:val="24"/>
          <w:lang w:val="en-US"/>
        </w:rPr>
        <w:t>Karl Llewellyn and the Realist Movement</w:t>
      </w:r>
      <w:r>
        <w:rPr>
          <w:rFonts w:ascii="Times New Roman" w:cs="Times New Roman" w:hAnsi="Times New Roman"/>
          <w:sz w:val="24"/>
          <w:szCs w:val="24"/>
          <w:lang w:val="en-US"/>
        </w:rPr>
        <w:t xml:space="preserve"> (2nd edn, Cambridge University Press 2012).</w:t>
      </w:r>
    </w:p>
    <w:p w14:paraId="5E24710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Van Bueren, Geraldine, </w:t>
      </w:r>
      <w:r>
        <w:rPr>
          <w:rFonts w:ascii="Times New Roman" w:cs="Times New Roman" w:hAnsi="Times New Roman"/>
          <w:i/>
          <w:iCs/>
          <w:sz w:val="24"/>
          <w:szCs w:val="24"/>
          <w:lang w:val="en-US"/>
        </w:rPr>
        <w:t>The International Law on the Rights of the Child</w:t>
      </w:r>
      <w:r>
        <w:rPr>
          <w:rFonts w:ascii="Times New Roman" w:cs="Times New Roman" w:hAnsi="Times New Roman"/>
          <w:sz w:val="24"/>
          <w:szCs w:val="24"/>
          <w:lang w:val="en-US"/>
        </w:rPr>
        <w:t xml:space="preserve"> (Martinus Nijhoff 1998).</w:t>
      </w:r>
    </w:p>
    <w:p w14:paraId="1B3CCE9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Wacks, Raymond, </w:t>
      </w:r>
      <w:r>
        <w:rPr>
          <w:rFonts w:ascii="Times New Roman" w:cs="Times New Roman" w:hAnsi="Times New Roman"/>
          <w:i/>
          <w:iCs/>
          <w:sz w:val="24"/>
          <w:szCs w:val="24"/>
          <w:lang w:val="en-US"/>
        </w:rPr>
        <w:t>Understanding Jurisprudence: An Introduction to Legal Theory</w:t>
      </w:r>
      <w:r>
        <w:rPr>
          <w:rFonts w:ascii="Times New Roman" w:cs="Times New Roman" w:hAnsi="Times New Roman"/>
          <w:sz w:val="24"/>
          <w:szCs w:val="24"/>
          <w:lang w:val="en-US"/>
        </w:rPr>
        <w:t xml:space="preserve"> (7th edn, Oxford University Press 2021).</w:t>
      </w:r>
    </w:p>
    <w:p w14:paraId="21A15ADF">
      <w:pPr>
        <w:pStyle w:val="style0"/>
        <w:rPr>
          <w:rFonts w:ascii="Times New Roman" w:cs="Times New Roman" w:hAnsi="Times New Roman"/>
          <w:sz w:val="24"/>
          <w:szCs w:val="24"/>
          <w:lang w:val="en-US"/>
        </w:rPr>
      </w:pPr>
    </w:p>
    <w:p w14:paraId="0CB3C3B4">
      <w:pPr>
        <w:pStyle w:val="style0"/>
        <w:rPr>
          <w:rFonts w:ascii="Times New Roman" w:cs="Times New Roman" w:hAnsi="Times New Roman"/>
          <w:b/>
          <w:sz w:val="24"/>
          <w:szCs w:val="24"/>
          <w:lang w:val="en-US"/>
        </w:rPr>
      </w:pPr>
      <w:r>
        <w:rPr>
          <w:rFonts w:ascii="Times New Roman" w:cs="Times New Roman" w:hAnsi="Times New Roman"/>
          <w:b/>
          <w:sz w:val="24"/>
          <w:szCs w:val="24"/>
          <w:lang w:val="en-US"/>
        </w:rPr>
        <w:t>Journals</w:t>
      </w:r>
    </w:p>
    <w:p w14:paraId="7E85D238">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Adamson, G David and others, ‘Global Fertility Care with Assisted Reproductive Technology’ (2023) 120(3) </w:t>
      </w:r>
      <w:r>
        <w:rPr>
          <w:rFonts w:ascii="Times New Roman" w:cs="Times New Roman" w:hAnsi="Times New Roman"/>
          <w:i/>
          <w:iCs/>
          <w:sz w:val="24"/>
          <w:szCs w:val="24"/>
          <w:lang w:val="en-US"/>
        </w:rPr>
        <w:t>Fertility and Sterility</w:t>
      </w:r>
      <w:r>
        <w:rPr>
          <w:rFonts w:ascii="Times New Roman" w:cs="Times New Roman" w:hAnsi="Times New Roman"/>
          <w:sz w:val="24"/>
          <w:szCs w:val="24"/>
          <w:lang w:val="en-US"/>
        </w:rPr>
        <w:t xml:space="preserve"> 473–482 </w:t>
      </w:r>
      <w:r>
        <w:rPr/>
        <w:fldChar w:fldCharType="begin"/>
      </w:r>
      <w:r>
        <w:instrText xml:space="preserve"> HYPERLINK "https://doi.org/10.1016/j.fertnstert.2023.01.013" </w:instrText>
      </w:r>
      <w:r>
        <w:rPr/>
        <w:fldChar w:fldCharType="separate"/>
      </w:r>
      <w:r>
        <w:rPr>
          <w:rStyle w:val="style85"/>
          <w:rFonts w:ascii="Times New Roman" w:cs="Times New Roman" w:hAnsi="Times New Roman"/>
          <w:sz w:val="24"/>
          <w:szCs w:val="24"/>
          <w:lang w:val="en-US"/>
        </w:rPr>
        <w:t>https://doi.org/10.1016/j.fertnstert.2023.01.013</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147991A2">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Adebayo, Afolabi Saka and others, ‘Legitimacy and Legitimation in Nigeria’ [2023] (3)(2) </w:t>
      </w:r>
      <w:r>
        <w:rPr>
          <w:rFonts w:ascii="Times New Roman" w:cs="Times New Roman" w:hAnsi="Times New Roman"/>
          <w:i/>
          <w:iCs/>
          <w:sz w:val="24"/>
          <w:szCs w:val="24"/>
          <w:lang w:val="en-US"/>
        </w:rPr>
        <w:t>Journal of Advanced Research and Multidisciplinary Studies</w:t>
      </w:r>
      <w:r>
        <w:rPr>
          <w:rFonts w:ascii="Times New Roman" w:cs="Times New Roman" w:hAnsi="Times New Roman"/>
          <w:sz w:val="24"/>
          <w:szCs w:val="24"/>
          <w:lang w:val="en-US"/>
        </w:rPr>
        <w:t xml:space="preserve"> 58–68 </w:t>
      </w:r>
      <w:r>
        <w:rPr/>
        <w:fldChar w:fldCharType="begin"/>
      </w:r>
      <w:r>
        <w:instrText xml:space="preserve"> HYPERLINK "https://doi.org/10.52589/JARMS-1RDNP5YU" </w:instrText>
      </w:r>
      <w:r>
        <w:rPr/>
        <w:fldChar w:fldCharType="separate"/>
      </w:r>
      <w:r>
        <w:rPr>
          <w:rStyle w:val="style85"/>
          <w:rFonts w:ascii="Times New Roman" w:cs="Times New Roman" w:hAnsi="Times New Roman"/>
          <w:sz w:val="24"/>
          <w:szCs w:val="24"/>
          <w:lang w:val="en-US"/>
        </w:rPr>
        <w:t>https://doi.org/10.52589/JARMS-1RDNP5YU</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6981C132">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Adelakun, O S, ‘The Concept of Surrogacy in Nigeria: Issues, Prospects and Challenges’ (2018) (18) </w:t>
      </w:r>
      <w:r>
        <w:rPr>
          <w:rFonts w:ascii="Times New Roman" w:cs="Times New Roman" w:hAnsi="Times New Roman"/>
          <w:i/>
          <w:iCs/>
          <w:sz w:val="24"/>
          <w:szCs w:val="24"/>
          <w:lang w:val="en-US"/>
        </w:rPr>
        <w:t>African Human Rights Law Journal</w:t>
      </w:r>
      <w:r>
        <w:rPr>
          <w:rFonts w:ascii="Times New Roman" w:cs="Times New Roman" w:hAnsi="Times New Roman"/>
          <w:sz w:val="24"/>
          <w:szCs w:val="24"/>
          <w:lang w:val="en-US"/>
        </w:rPr>
        <w:t xml:space="preserve"> 605–624.</w:t>
      </w:r>
    </w:p>
    <w:p w14:paraId="249DBDF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AjaNwachuku, Maurice Ogugua, ‘Concept of Childhood in Nigeria’ [2016] (7)(2) </w:t>
      </w:r>
      <w:r>
        <w:rPr>
          <w:rFonts w:ascii="Times New Roman" w:cs="Times New Roman" w:hAnsi="Times New Roman"/>
          <w:i/>
          <w:iCs/>
          <w:sz w:val="24"/>
          <w:szCs w:val="24"/>
          <w:lang w:val="en-US"/>
        </w:rPr>
        <w:t>Beijing Law Review</w:t>
      </w:r>
      <w:r>
        <w:rPr>
          <w:rFonts w:ascii="Times New Roman" w:cs="Times New Roman" w:hAnsi="Times New Roman"/>
          <w:sz w:val="24"/>
          <w:szCs w:val="24"/>
          <w:lang w:val="en-US"/>
        </w:rPr>
        <w:t xml:space="preserve"> 122–126 </w:t>
      </w:r>
      <w:r>
        <w:rPr/>
        <w:fldChar w:fldCharType="begin"/>
      </w:r>
      <w:r>
        <w:instrText xml:space="preserve"> HYPERLINK "https://doi.org/10.4236/blr.2016.72013" </w:instrText>
      </w:r>
      <w:r>
        <w:rPr/>
        <w:fldChar w:fldCharType="separate"/>
      </w:r>
      <w:r>
        <w:rPr>
          <w:rStyle w:val="style85"/>
          <w:rFonts w:ascii="Times New Roman" w:cs="Times New Roman" w:hAnsi="Times New Roman"/>
          <w:sz w:val="24"/>
          <w:szCs w:val="24"/>
          <w:lang w:val="en-US"/>
        </w:rPr>
        <w:t>https://doi.org/10.4236/blr.2016.72013</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4AD0303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Ajonumah, J A and Dublin-Green, O, ‘Paternity and Customary Acknowledgment’ [2019] (7)(2) </w:t>
      </w:r>
      <w:r>
        <w:rPr>
          <w:rFonts w:ascii="Times New Roman" w:cs="Times New Roman" w:hAnsi="Times New Roman"/>
          <w:i/>
          <w:iCs/>
          <w:sz w:val="24"/>
          <w:szCs w:val="24"/>
          <w:lang w:val="en-US"/>
        </w:rPr>
        <w:t>International Journal of Business and Law Research</w:t>
      </w:r>
      <w:r>
        <w:rPr>
          <w:rFonts w:ascii="Times New Roman" w:cs="Times New Roman" w:hAnsi="Times New Roman"/>
          <w:sz w:val="24"/>
          <w:szCs w:val="24"/>
          <w:lang w:val="en-US"/>
        </w:rPr>
        <w:t xml:space="preserve"> 112–119 </w:t>
      </w:r>
      <w:r>
        <w:rPr/>
        <w:fldChar w:fldCharType="begin"/>
      </w:r>
      <w:r>
        <w:instrText xml:space="preserve"> HYPERLINK "https://www.seahipublications.org/wp-content/uploads/2024/05/IJBLR-J-10-2019.pdf" </w:instrText>
      </w:r>
      <w:r>
        <w:rPr/>
        <w:fldChar w:fldCharType="separate"/>
      </w:r>
      <w:r>
        <w:rPr>
          <w:rStyle w:val="style85"/>
          <w:rFonts w:ascii="Times New Roman" w:cs="Times New Roman" w:hAnsi="Times New Roman"/>
          <w:sz w:val="24"/>
          <w:szCs w:val="24"/>
          <w:lang w:val="en-US"/>
        </w:rPr>
        <w:t>https://www.seahipublications.org/wp-content/uploads/2024/05/IJBLR-J-10-2019.pdf</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2E7EE74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Akangah, Rosaline and others, ‘Socio-ethical and Legal Issues Regarding Surrogacy in Ghana: A Qualitative Study’ [2025](22) </w:t>
      </w:r>
      <w:r>
        <w:rPr>
          <w:rFonts w:ascii="Times New Roman" w:cs="Times New Roman" w:hAnsi="Times New Roman"/>
          <w:i/>
          <w:iCs/>
          <w:sz w:val="24"/>
          <w:szCs w:val="24"/>
          <w:lang w:val="en-US"/>
        </w:rPr>
        <w:t>Reproductive Health</w:t>
      </w:r>
      <w:r>
        <w:rPr>
          <w:rFonts w:ascii="Times New Roman" w:cs="Times New Roman" w:hAnsi="Times New Roman"/>
          <w:sz w:val="24"/>
          <w:szCs w:val="24"/>
          <w:lang w:val="en-US"/>
        </w:rPr>
        <w:t xml:space="preserve"> Article 181 </w:t>
      </w:r>
      <w:r>
        <w:rPr/>
        <w:fldChar w:fldCharType="begin"/>
      </w:r>
      <w:r>
        <w:instrText xml:space="preserve"> HYPERLINK "https://doi.org/10.1186/s12978-025-02007-z" </w:instrText>
      </w:r>
      <w:r>
        <w:rPr/>
        <w:fldChar w:fldCharType="separate"/>
      </w:r>
      <w:r>
        <w:rPr>
          <w:rStyle w:val="style85"/>
          <w:rFonts w:ascii="Times New Roman" w:cs="Times New Roman" w:hAnsi="Times New Roman"/>
          <w:sz w:val="24"/>
          <w:szCs w:val="24"/>
          <w:lang w:val="en-US"/>
        </w:rPr>
        <w:t>https://doi.org/10.1186/s12978-025-02007-z</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332D4CF7">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Akintola, Simisola O and Egbokhare, Olohikhuae O, ‘Parenthood: Is the Law in Nigeria Fit for Assisted Reproductive Technology?’ [2018](3)(2) </w:t>
      </w:r>
      <w:r>
        <w:rPr>
          <w:rFonts w:ascii="Times New Roman" w:cs="Times New Roman" w:hAnsi="Times New Roman"/>
          <w:i/>
          <w:iCs/>
          <w:sz w:val="24"/>
          <w:szCs w:val="24"/>
          <w:lang w:val="en-US"/>
        </w:rPr>
        <w:t>Indian Journal of Medical Ethics</w:t>
      </w:r>
      <w:r>
        <w:rPr>
          <w:rFonts w:ascii="Times New Roman" w:cs="Times New Roman" w:hAnsi="Times New Roman"/>
          <w:sz w:val="24"/>
          <w:szCs w:val="24"/>
          <w:lang w:val="en-US"/>
        </w:rPr>
        <w:t xml:space="preserve"> 107–108.</w:t>
      </w:r>
    </w:p>
    <w:p w14:paraId="49CCBF5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Alabi, O J, ‘Baby Factories in Nigeria’ [2018] (8)(2) </w:t>
      </w:r>
      <w:r>
        <w:rPr>
          <w:rFonts w:ascii="Times New Roman" w:cs="Times New Roman" w:hAnsi="Times New Roman"/>
          <w:i/>
          <w:iCs/>
          <w:sz w:val="24"/>
          <w:szCs w:val="24"/>
          <w:lang w:val="en-US"/>
        </w:rPr>
        <w:t>SAGE Open</w:t>
      </w:r>
      <w:r>
        <w:rPr>
          <w:rFonts w:ascii="Times New Roman" w:cs="Times New Roman" w:hAnsi="Times New Roman"/>
          <w:sz w:val="24"/>
          <w:szCs w:val="24"/>
          <w:lang w:val="en-US"/>
        </w:rPr>
        <w:t xml:space="preserve"> Article 2158244018779115.</w:t>
      </w:r>
    </w:p>
    <w:p w14:paraId="7295D47F">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Alabi, O J, ‘Yoruba Perceptions of Surrogacy’ [2021] (9) </w:t>
      </w:r>
      <w:r>
        <w:rPr>
          <w:rFonts w:ascii="Times New Roman" w:cs="Times New Roman" w:hAnsi="Times New Roman"/>
          <w:i/>
          <w:iCs/>
          <w:sz w:val="24"/>
          <w:szCs w:val="24"/>
          <w:lang w:val="en-US"/>
        </w:rPr>
        <w:t>F1000Research</w:t>
      </w:r>
      <w:r>
        <w:rPr>
          <w:rFonts w:ascii="Times New Roman" w:cs="Times New Roman" w:hAnsi="Times New Roman"/>
          <w:sz w:val="24"/>
          <w:szCs w:val="24"/>
          <w:lang w:val="en-US"/>
        </w:rPr>
        <w:t xml:space="preserve"> 103 </w:t>
      </w:r>
      <w:r>
        <w:rPr/>
        <w:fldChar w:fldCharType="begin"/>
      </w:r>
      <w:r>
        <w:instrText xml:space="preserve"> HYPERLINK "https://pmc.ncbi.nlm.nih.gov/articles/PMC7921890/" </w:instrText>
      </w:r>
      <w:r>
        <w:rPr/>
        <w:fldChar w:fldCharType="separate"/>
      </w:r>
      <w:r>
        <w:rPr>
          <w:rStyle w:val="style85"/>
          <w:rFonts w:ascii="Times New Roman" w:cs="Times New Roman" w:hAnsi="Times New Roman"/>
          <w:sz w:val="24"/>
          <w:szCs w:val="24"/>
          <w:lang w:val="en-US"/>
        </w:rPr>
        <w:t>https://pmc.ncbi.nlm.nih.gov/articles/PMC7921890/</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24 April 2026.</w:t>
      </w:r>
    </w:p>
    <w:p w14:paraId="28397E82">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Alghrani, Amel and Griffiths, Danielle, ‘Surrogacy Regulation in the UK’ [2017](29)(2) </w:t>
      </w:r>
      <w:r>
        <w:rPr>
          <w:rFonts w:ascii="Times New Roman" w:cs="Times New Roman" w:hAnsi="Times New Roman"/>
          <w:i/>
          <w:iCs/>
          <w:sz w:val="24"/>
          <w:szCs w:val="24"/>
          <w:lang w:val="en-US"/>
        </w:rPr>
        <w:t>Child and Family Law Quarterly</w:t>
      </w:r>
      <w:r>
        <w:rPr>
          <w:rFonts w:ascii="Times New Roman" w:cs="Times New Roman" w:hAnsi="Times New Roman"/>
          <w:sz w:val="24"/>
          <w:szCs w:val="24"/>
          <w:lang w:val="en-US"/>
        </w:rPr>
        <w:t xml:space="preserve"> 165.</w:t>
      </w:r>
    </w:p>
    <w:p w14:paraId="3C09680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Amor, David J and others, ‘Attitudes of Sperm, Egg and Embryo Donors and Recipients Towards Genetic Information and Screening of Donors’ [2018](15)(1) </w:t>
      </w:r>
      <w:r>
        <w:rPr>
          <w:rFonts w:ascii="Times New Roman" w:cs="Times New Roman" w:hAnsi="Times New Roman"/>
          <w:i/>
          <w:iCs/>
          <w:sz w:val="24"/>
          <w:szCs w:val="24"/>
          <w:lang w:val="en-US"/>
        </w:rPr>
        <w:t>Reproductive Health</w:t>
      </w:r>
      <w:r>
        <w:rPr>
          <w:rFonts w:ascii="Times New Roman" w:cs="Times New Roman" w:hAnsi="Times New Roman"/>
          <w:sz w:val="24"/>
          <w:szCs w:val="24"/>
          <w:lang w:val="en-US"/>
        </w:rPr>
        <w:t xml:space="preserve"> 26 </w:t>
      </w:r>
      <w:r>
        <w:rPr/>
        <w:fldChar w:fldCharType="begin"/>
      </w:r>
      <w:r>
        <w:instrText xml:space="preserve"> HYPERLINK "https://doi.org/10.1186/s12978-018-0468-9" </w:instrText>
      </w:r>
      <w:r>
        <w:rPr/>
        <w:fldChar w:fldCharType="separate"/>
      </w:r>
      <w:r>
        <w:rPr>
          <w:rStyle w:val="style85"/>
          <w:rFonts w:ascii="Times New Roman" w:cs="Times New Roman" w:hAnsi="Times New Roman"/>
          <w:sz w:val="24"/>
          <w:szCs w:val="24"/>
          <w:lang w:val="en-US"/>
        </w:rPr>
        <w:t>https://doi.org/10.1186/s12978-018-0468-9</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8 June 2026.</w:t>
      </w:r>
    </w:p>
    <w:p w14:paraId="335EEE93">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Ani, Chijioke Collins and Chime, Onyinye Hope, ‘The Presumption of Legitimacy under Section 165 of the Evidence Act and Its Inadequacies in the Determination of Legitimacy Status/Paternity of a Child: A Call for the Adoption of Genetic Testing (DNA Test) as a Preferable and Conclusive Proof of Paternity’ [2021](111) </w:t>
      </w:r>
      <w:r>
        <w:rPr>
          <w:rFonts w:ascii="Times New Roman" w:cs="Times New Roman" w:hAnsi="Times New Roman"/>
          <w:i/>
          <w:iCs/>
          <w:sz w:val="24"/>
          <w:szCs w:val="24"/>
          <w:lang w:val="en-US"/>
        </w:rPr>
        <w:t>Journal of Law, Policy and Globalization</w:t>
      </w:r>
      <w:r>
        <w:rPr>
          <w:rFonts w:ascii="Times New Roman" w:cs="Times New Roman" w:hAnsi="Times New Roman"/>
          <w:sz w:val="24"/>
          <w:szCs w:val="24"/>
          <w:lang w:val="en-US"/>
        </w:rPr>
        <w:t xml:space="preserve"> 73 </w:t>
      </w:r>
      <w:r>
        <w:rPr/>
        <w:fldChar w:fldCharType="begin"/>
      </w:r>
      <w:r>
        <w:instrText xml:space="preserve"> HYPERLINK "https://doi.org/10.7176/JLPG/111-08" </w:instrText>
      </w:r>
      <w:r>
        <w:rPr/>
        <w:fldChar w:fldCharType="separate"/>
      </w:r>
      <w:r>
        <w:rPr>
          <w:rStyle w:val="style85"/>
          <w:rFonts w:ascii="Times New Roman" w:cs="Times New Roman" w:hAnsi="Times New Roman"/>
          <w:sz w:val="24"/>
          <w:szCs w:val="24"/>
          <w:lang w:val="en-US"/>
        </w:rPr>
        <w:t>https://doi.org/10.7176/JLPG/111-08</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7A32B3FD">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Arvind, T T, ‘The Transplant Effect in Harmonisation’ [2010](59)(1) </w:t>
      </w:r>
      <w:r>
        <w:rPr>
          <w:rFonts w:ascii="Times New Roman" w:cs="Times New Roman" w:hAnsi="Times New Roman"/>
          <w:i/>
          <w:iCs/>
          <w:sz w:val="24"/>
          <w:szCs w:val="24"/>
          <w:lang w:val="en-US"/>
        </w:rPr>
        <w:t>International and Comparative Law Quarterly</w:t>
      </w:r>
      <w:r>
        <w:rPr>
          <w:rFonts w:ascii="Times New Roman" w:cs="Times New Roman" w:hAnsi="Times New Roman"/>
          <w:sz w:val="24"/>
          <w:szCs w:val="24"/>
          <w:lang w:val="en-US"/>
        </w:rPr>
        <w:t xml:space="preserve"> 65–88.</w:t>
      </w:r>
    </w:p>
    <w:p w14:paraId="43C2A1A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Berkowitz, Daniel, Pistor, Katharina and Richard, Jean-Francois, ‘The Transplant Effect’ [2003](51)(1) </w:t>
      </w:r>
      <w:r>
        <w:rPr>
          <w:rFonts w:ascii="Times New Roman" w:cs="Times New Roman" w:hAnsi="Times New Roman"/>
          <w:i/>
          <w:iCs/>
          <w:sz w:val="24"/>
          <w:szCs w:val="24"/>
          <w:lang w:val="en-US"/>
        </w:rPr>
        <w:t>American Journal of Comparative Law</w:t>
      </w:r>
      <w:r>
        <w:rPr>
          <w:rFonts w:ascii="Times New Roman" w:cs="Times New Roman" w:hAnsi="Times New Roman"/>
          <w:sz w:val="24"/>
          <w:szCs w:val="24"/>
          <w:lang w:val="en-US"/>
        </w:rPr>
        <w:t xml:space="preserve"> 163–204 </w:t>
      </w:r>
      <w:r>
        <w:rPr/>
        <w:fldChar w:fldCharType="begin"/>
      </w:r>
      <w:r>
        <w:instrText xml:space="preserve"> HYPERLINK "https://doi.org/10.2307/3649143" </w:instrText>
      </w:r>
      <w:r>
        <w:rPr/>
        <w:fldChar w:fldCharType="separate"/>
      </w:r>
      <w:r>
        <w:rPr>
          <w:rStyle w:val="style85"/>
          <w:rFonts w:ascii="Times New Roman" w:cs="Times New Roman" w:hAnsi="Times New Roman"/>
          <w:sz w:val="24"/>
          <w:szCs w:val="24"/>
          <w:lang w:val="en-US"/>
        </w:rPr>
        <w:t>https://doi.org/10.2307/3649143</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25 April 2026.</w:t>
      </w:r>
    </w:p>
    <w:p w14:paraId="40FD896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Blyth, E and Kramer, W, ‘Anonymous or Identity-Release Sperm Donors’ [2013](31)(1) </w:t>
      </w:r>
      <w:r>
        <w:rPr>
          <w:rFonts w:ascii="Times New Roman" w:cs="Times New Roman" w:hAnsi="Times New Roman"/>
          <w:i/>
          <w:iCs/>
          <w:sz w:val="24"/>
          <w:szCs w:val="24"/>
          <w:lang w:val="en-US"/>
        </w:rPr>
        <w:t>Fertility and Sterility</w:t>
      </w:r>
      <w:r>
        <w:rPr>
          <w:rFonts w:ascii="Times New Roman" w:cs="Times New Roman" w:hAnsi="Times New Roman"/>
          <w:sz w:val="24"/>
          <w:szCs w:val="24"/>
          <w:lang w:val="en-US"/>
        </w:rPr>
        <w:t xml:space="preserve"> 10–24.</w:t>
      </w:r>
    </w:p>
    <w:p w14:paraId="494BA172">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Brezina, Paul R and Zhao, Yulian, ‘The Ethical, Legal, and Social Issues Impacted by Modern Assisted Reproductive Technologies’ [2012] </w:t>
      </w:r>
      <w:r>
        <w:rPr>
          <w:rFonts w:ascii="Times New Roman" w:cs="Times New Roman" w:hAnsi="Times New Roman"/>
          <w:i/>
          <w:iCs/>
          <w:sz w:val="24"/>
          <w:szCs w:val="24"/>
          <w:lang w:val="en-US"/>
        </w:rPr>
        <w:t>Obstetrics and Gynecology International</w:t>
      </w:r>
      <w:r>
        <w:rPr>
          <w:rFonts w:ascii="Times New Roman" w:cs="Times New Roman" w:hAnsi="Times New Roman"/>
          <w:sz w:val="24"/>
          <w:szCs w:val="24"/>
          <w:lang w:val="en-US"/>
        </w:rPr>
        <w:t xml:space="preserve"> Article ID 686253 </w:t>
      </w:r>
      <w:r>
        <w:rPr/>
        <w:fldChar w:fldCharType="begin"/>
      </w:r>
      <w:r>
        <w:instrText xml:space="preserve"> HYPERLINK "https://doi.org/10.1155/2012/686253" </w:instrText>
      </w:r>
      <w:r>
        <w:rPr/>
        <w:fldChar w:fldCharType="separate"/>
      </w:r>
      <w:r>
        <w:rPr>
          <w:rStyle w:val="style85"/>
          <w:rFonts w:ascii="Times New Roman" w:cs="Times New Roman" w:hAnsi="Times New Roman"/>
          <w:sz w:val="24"/>
          <w:szCs w:val="24"/>
          <w:lang w:val="en-US"/>
        </w:rPr>
        <w:t>https://doi.org/10.1155/2012/686253</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8 June 2026.</w:t>
      </w:r>
    </w:p>
    <w:p w14:paraId="4348E873">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Donchin, Anne, ‘Reproductive Tourism and Gender Justice’ [2010] (24)(7) </w:t>
      </w:r>
      <w:r>
        <w:rPr>
          <w:rFonts w:ascii="Times New Roman" w:cs="Times New Roman" w:hAnsi="Times New Roman"/>
          <w:i/>
          <w:iCs/>
          <w:sz w:val="24"/>
          <w:szCs w:val="24"/>
          <w:lang w:val="en-US"/>
        </w:rPr>
        <w:t>Bioethics</w:t>
      </w:r>
      <w:r>
        <w:rPr>
          <w:rFonts w:ascii="Times New Roman" w:cs="Times New Roman" w:hAnsi="Times New Roman"/>
          <w:sz w:val="24"/>
          <w:szCs w:val="24"/>
          <w:lang w:val="en-US"/>
        </w:rPr>
        <w:t xml:space="preserve"> 323–332.</w:t>
      </w:r>
    </w:p>
    <w:p w14:paraId="16E45FDF">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Enabulele, O and Enabulele, J E, ‘Nigeria’s National Health Act: An Assessment of Health Professionals’ Knowledge and Perception’ [2016] (57)(5) </w:t>
      </w:r>
      <w:r>
        <w:rPr>
          <w:rFonts w:ascii="Times New Roman" w:cs="Times New Roman" w:hAnsi="Times New Roman"/>
          <w:i/>
          <w:iCs/>
          <w:sz w:val="24"/>
          <w:szCs w:val="24"/>
          <w:lang w:val="en-US"/>
        </w:rPr>
        <w:t>Nigerian Medical Journal</w:t>
      </w:r>
      <w:r>
        <w:rPr>
          <w:rFonts w:ascii="Times New Roman" w:cs="Times New Roman" w:hAnsi="Times New Roman"/>
          <w:sz w:val="24"/>
          <w:szCs w:val="24"/>
          <w:lang w:val="en-US"/>
        </w:rPr>
        <w:t xml:space="preserve"> 260–265.</w:t>
      </w:r>
    </w:p>
    <w:p w14:paraId="1D4C69D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Ezenwa, B N and others, ‘The Growing Trend of Surrogacy in Nigeria: Implications for Quality Newborn Care: A Case Report’ [2024] (65)(5) </w:t>
      </w:r>
      <w:r>
        <w:rPr>
          <w:rFonts w:ascii="Times New Roman" w:cs="Times New Roman" w:hAnsi="Times New Roman"/>
          <w:i/>
          <w:iCs/>
          <w:sz w:val="24"/>
          <w:szCs w:val="24"/>
          <w:lang w:val="en-US"/>
        </w:rPr>
        <w:t>Nigerian Medical Journal</w:t>
      </w:r>
      <w:r>
        <w:rPr>
          <w:rFonts w:ascii="Times New Roman" w:cs="Times New Roman" w:hAnsi="Times New Roman"/>
          <w:sz w:val="24"/>
          <w:szCs w:val="24"/>
          <w:lang w:val="en-US"/>
        </w:rPr>
        <w:t xml:space="preserve"> 792–799 </w:t>
      </w:r>
      <w:r>
        <w:rPr/>
        <w:fldChar w:fldCharType="begin"/>
      </w:r>
      <w:r>
        <w:instrText xml:space="preserve"> HYPERLINK "https://doi.org/10.60787/nmj.v65i5.515" </w:instrText>
      </w:r>
      <w:r>
        <w:rPr/>
        <w:fldChar w:fldCharType="separate"/>
      </w:r>
      <w:r>
        <w:rPr>
          <w:rStyle w:val="style85"/>
          <w:rFonts w:ascii="Times New Roman" w:cs="Times New Roman" w:hAnsi="Times New Roman"/>
          <w:sz w:val="24"/>
          <w:szCs w:val="24"/>
          <w:lang w:val="en-US"/>
        </w:rPr>
        <w:t>https://doi.org/10.60787/nmj.v65i5.515</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748B2FF6">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Fiebai, P O and Kinikanwo, G, ‘Regulation of Assisted Reproductive Technology (ART) in Nigeria’ [2019] (4)(1) </w:t>
      </w:r>
      <w:r>
        <w:rPr>
          <w:rFonts w:ascii="Times New Roman" w:cs="Times New Roman" w:hAnsi="Times New Roman"/>
          <w:i/>
          <w:iCs/>
          <w:sz w:val="24"/>
          <w:szCs w:val="24"/>
          <w:lang w:val="en-US"/>
        </w:rPr>
        <w:t>African Journal for Infertility and Assisted Conception</w:t>
      </w:r>
      <w:r>
        <w:rPr>
          <w:rFonts w:ascii="Times New Roman" w:cs="Times New Roman" w:hAnsi="Times New Roman"/>
          <w:sz w:val="24"/>
          <w:szCs w:val="24"/>
          <w:lang w:val="en-US"/>
        </w:rPr>
        <w:t xml:space="preserve"> 1–2.</w:t>
      </w:r>
    </w:p>
    <w:p w14:paraId="1D82A4EF">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Grace, O T and others, ‘The Regulatory Framework for Assisted Reproductive Technology (ART) in Nigeria: Lessons from India’ [2025] (7)(2) </w:t>
      </w:r>
      <w:r>
        <w:rPr>
          <w:rFonts w:ascii="Times New Roman" w:cs="Times New Roman" w:hAnsi="Times New Roman"/>
          <w:i/>
          <w:iCs/>
          <w:sz w:val="24"/>
          <w:szCs w:val="24"/>
          <w:lang w:val="en-US"/>
        </w:rPr>
        <w:t>International Journal of Law, Policy and Social Review</w:t>
      </w:r>
      <w:r>
        <w:rPr>
          <w:rFonts w:ascii="Times New Roman" w:cs="Times New Roman" w:hAnsi="Times New Roman"/>
          <w:sz w:val="24"/>
          <w:szCs w:val="24"/>
          <w:lang w:val="en-US"/>
        </w:rPr>
        <w:t xml:space="preserve"> 158–164.</w:t>
      </w:r>
    </w:p>
    <w:p w14:paraId="7730C16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Horsey, Kirsty, ‘The Future of Surrogacy: A Review of Current Global Trends and National Landscapes’ [2024] (48)(5) </w:t>
      </w:r>
      <w:r>
        <w:rPr>
          <w:rFonts w:ascii="Times New Roman" w:cs="Times New Roman" w:hAnsi="Times New Roman"/>
          <w:i/>
          <w:iCs/>
          <w:sz w:val="24"/>
          <w:szCs w:val="24"/>
          <w:lang w:val="en-US"/>
        </w:rPr>
        <w:t>Reproductive BioMedicine Online</w:t>
      </w:r>
      <w:r>
        <w:rPr>
          <w:rFonts w:ascii="Times New Roman" w:cs="Times New Roman" w:hAnsi="Times New Roman"/>
          <w:sz w:val="24"/>
          <w:szCs w:val="24"/>
          <w:lang w:val="en-US"/>
        </w:rPr>
        <w:t xml:space="preserve"> 103764 </w:t>
      </w:r>
      <w:r>
        <w:rPr/>
        <w:fldChar w:fldCharType="begin"/>
      </w:r>
      <w:r>
        <w:instrText xml:space="preserve"> HYPERLINK "https://doi.org/10.1016/j.rbmo.2023.103764" </w:instrText>
      </w:r>
      <w:r>
        <w:rPr/>
        <w:fldChar w:fldCharType="separate"/>
      </w:r>
      <w:r>
        <w:rPr>
          <w:rStyle w:val="style85"/>
          <w:rFonts w:ascii="Times New Roman" w:cs="Times New Roman" w:hAnsi="Times New Roman"/>
          <w:sz w:val="24"/>
          <w:szCs w:val="24"/>
          <w:lang w:val="en-US"/>
        </w:rPr>
        <w:t>https://doi.org/10.1016/j.rbmo.2023.103764</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44A13137">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International Committee for Monitoring Assisted Reproductive Technology and World Health Organization, ‘International Committee for Monitoring Assisted Reproductive Technology (ICMART) and the World Health Organization Revised Glossary of ART Terminology, 2009’ [2009](92)(5) </w:t>
      </w:r>
      <w:r>
        <w:rPr>
          <w:rFonts w:ascii="Times New Roman" w:cs="Times New Roman" w:hAnsi="Times New Roman"/>
          <w:i/>
          <w:iCs/>
          <w:sz w:val="24"/>
          <w:szCs w:val="24"/>
          <w:lang w:val="en-US"/>
        </w:rPr>
        <w:t>Fertility and Sterility</w:t>
      </w:r>
      <w:r>
        <w:rPr>
          <w:rFonts w:ascii="Times New Roman" w:cs="Times New Roman" w:hAnsi="Times New Roman"/>
          <w:sz w:val="24"/>
          <w:szCs w:val="24"/>
          <w:lang w:val="en-US"/>
        </w:rPr>
        <w:t xml:space="preserve"> 1520–1521.</w:t>
      </w:r>
    </w:p>
    <w:p w14:paraId="6A9B672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International Committee for Monitoring Assisted Reproductive Technology and World Health Organization, ‘International Glossary on Infertility and Fertility Care, 2017’ (2017) 108(3) </w:t>
      </w:r>
      <w:r>
        <w:rPr>
          <w:rFonts w:ascii="Times New Roman" w:cs="Times New Roman" w:hAnsi="Times New Roman"/>
          <w:i/>
          <w:iCs/>
          <w:sz w:val="24"/>
          <w:szCs w:val="24"/>
          <w:lang w:val="en-US"/>
        </w:rPr>
        <w:t>Fertility and Sterility</w:t>
      </w:r>
      <w:r>
        <w:rPr>
          <w:rFonts w:ascii="Times New Roman" w:cs="Times New Roman" w:hAnsi="Times New Roman"/>
          <w:sz w:val="24"/>
          <w:szCs w:val="24"/>
          <w:lang w:val="en-US"/>
        </w:rPr>
        <w:t xml:space="preserve"> 393–406 </w:t>
      </w:r>
      <w:r>
        <w:rPr/>
        <w:fldChar w:fldCharType="begin"/>
      </w:r>
      <w:r>
        <w:instrText xml:space="preserve"> HYPERLINK "https://doi.org/10.1016/j.fertnstert.2017.06.005" </w:instrText>
      </w:r>
      <w:r>
        <w:rPr/>
        <w:fldChar w:fldCharType="separate"/>
      </w:r>
      <w:r>
        <w:rPr>
          <w:rStyle w:val="style85"/>
          <w:rFonts w:ascii="Times New Roman" w:cs="Times New Roman" w:hAnsi="Times New Roman"/>
          <w:sz w:val="24"/>
          <w:szCs w:val="24"/>
          <w:lang w:val="en-US"/>
        </w:rPr>
        <w:t>https://doi.org/10.1016/j.fertnstert.2017.06.005</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8 June 2026.</w:t>
      </w:r>
    </w:p>
    <w:p w14:paraId="60375C97">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Jones, G L and others, ‘Reproduction in Life and Death: Should Cancer Patients with a Poor Prognosis Be Offered Fertility Preservation Interventions?’ [2023](4)(4) </w:t>
      </w:r>
      <w:r>
        <w:rPr>
          <w:rFonts w:ascii="Times New Roman" w:cs="Times New Roman" w:hAnsi="Times New Roman"/>
          <w:i/>
          <w:iCs/>
          <w:sz w:val="24"/>
          <w:szCs w:val="24"/>
          <w:lang w:val="en-US"/>
        </w:rPr>
        <w:t>Reproduction and Fertility</w:t>
      </w:r>
      <w:r>
        <w:rPr>
          <w:rFonts w:ascii="Times New Roman" w:cs="Times New Roman" w:hAnsi="Times New Roman"/>
          <w:sz w:val="24"/>
          <w:szCs w:val="24"/>
          <w:lang w:val="en-US"/>
        </w:rPr>
        <w:t xml:space="preserve"> e230047 </w:t>
      </w:r>
      <w:r>
        <w:rPr/>
        <w:fldChar w:fldCharType="begin"/>
      </w:r>
      <w:r>
        <w:instrText xml:space="preserve"> HYPERLINK "https://doi.org/10.1530/RAF-23-0047" </w:instrText>
      </w:r>
      <w:r>
        <w:rPr/>
        <w:fldChar w:fldCharType="separate"/>
      </w:r>
      <w:r>
        <w:rPr>
          <w:rStyle w:val="style85"/>
          <w:rFonts w:ascii="Times New Roman" w:cs="Times New Roman" w:hAnsi="Times New Roman"/>
          <w:sz w:val="24"/>
          <w:szCs w:val="24"/>
          <w:lang w:val="en-US"/>
        </w:rPr>
        <w:t>https://doi.org/10.1530/RAF-23-0047</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9 June 2026.</w:t>
      </w:r>
    </w:p>
    <w:p w14:paraId="327C789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Kneebone, Ezra and others, ‘Surrogates’, Intended Parents’, and Professionals’ Perspectives on Ways to Improve Access to Surrogacy in Australia’ [2024](38)(1) </w:t>
      </w:r>
      <w:r>
        <w:rPr>
          <w:rFonts w:ascii="Times New Roman" w:cs="Times New Roman" w:hAnsi="Times New Roman"/>
          <w:i/>
          <w:iCs/>
          <w:sz w:val="24"/>
          <w:szCs w:val="24"/>
          <w:lang w:val="en-US"/>
        </w:rPr>
        <w:t>International Journal of Law, Policy and the Family</w:t>
      </w:r>
      <w:r>
        <w:rPr>
          <w:rFonts w:ascii="Times New Roman" w:cs="Times New Roman" w:hAnsi="Times New Roman"/>
          <w:sz w:val="24"/>
          <w:szCs w:val="24"/>
          <w:lang w:val="en-US"/>
        </w:rPr>
        <w:t xml:space="preserve"> ebae009 </w:t>
      </w:r>
      <w:r>
        <w:rPr/>
        <w:fldChar w:fldCharType="begin"/>
      </w:r>
      <w:r>
        <w:instrText xml:space="preserve"> HYPERLINK "https://doi.org/10.1093/lawfam/ebae009" </w:instrText>
      </w:r>
      <w:r>
        <w:rPr/>
        <w:fldChar w:fldCharType="separate"/>
      </w:r>
      <w:r>
        <w:rPr>
          <w:rStyle w:val="style85"/>
          <w:rFonts w:ascii="Times New Roman" w:cs="Times New Roman" w:hAnsi="Times New Roman"/>
          <w:sz w:val="24"/>
          <w:szCs w:val="24"/>
          <w:lang w:val="en-US"/>
        </w:rPr>
        <w:t>https://doi.org/10.1093/lawfam/ebae009</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70714EE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Lazzari, Ester and others, ‘Projecting the Contribution of Assisted Reproductive Technology to Completed Cohort Fertility’ [2023](42)(1) </w:t>
      </w:r>
      <w:r>
        <w:rPr>
          <w:rFonts w:ascii="Times New Roman" w:cs="Times New Roman" w:hAnsi="Times New Roman"/>
          <w:i/>
          <w:iCs/>
          <w:sz w:val="24"/>
          <w:szCs w:val="24"/>
          <w:lang w:val="en-US"/>
        </w:rPr>
        <w:t>Population Research and Policy Review</w:t>
      </w:r>
      <w:r>
        <w:rPr>
          <w:rFonts w:ascii="Times New Roman" w:cs="Times New Roman" w:hAnsi="Times New Roman"/>
          <w:sz w:val="24"/>
          <w:szCs w:val="24"/>
          <w:lang w:val="en-US"/>
        </w:rPr>
        <w:t xml:space="preserve"> Article 6 </w:t>
      </w:r>
      <w:r>
        <w:rPr/>
        <w:fldChar w:fldCharType="begin"/>
      </w:r>
      <w:r>
        <w:instrText xml:space="preserve"> HYPERLINK "https://doi.org/10.1007/s11113-023-09765-3" </w:instrText>
      </w:r>
      <w:r>
        <w:rPr/>
        <w:fldChar w:fldCharType="separate"/>
      </w:r>
      <w:r>
        <w:rPr>
          <w:rStyle w:val="style85"/>
          <w:rFonts w:ascii="Times New Roman" w:cs="Times New Roman" w:hAnsi="Times New Roman"/>
          <w:sz w:val="24"/>
          <w:szCs w:val="24"/>
          <w:lang w:val="en-US"/>
        </w:rPr>
        <w:t>https://doi.org/10.1007/s11113-023-09765-3</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23 March 2026.</w:t>
      </w:r>
    </w:p>
    <w:p w14:paraId="22F1A27A">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Lima, Dafni, ‘Legal Parenthood in Surrogacy: Shifting the Focus to the Surrogate’s Negative Intention’ [2024] 46(2) </w:t>
      </w:r>
      <w:r>
        <w:rPr>
          <w:rFonts w:ascii="Times New Roman" w:cs="Times New Roman" w:hAnsi="Times New Roman"/>
          <w:i/>
          <w:iCs/>
          <w:sz w:val="24"/>
          <w:szCs w:val="24"/>
          <w:lang w:val="en-US"/>
        </w:rPr>
        <w:t>Journal of Social Welfare and Family Law</w:t>
      </w:r>
      <w:r>
        <w:rPr>
          <w:rFonts w:ascii="Times New Roman" w:cs="Times New Roman" w:hAnsi="Times New Roman"/>
          <w:sz w:val="24"/>
          <w:szCs w:val="24"/>
          <w:lang w:val="en-US"/>
        </w:rPr>
        <w:t xml:space="preserve"> 245–266 </w:t>
      </w:r>
      <w:r>
        <w:rPr/>
        <w:fldChar w:fldCharType="begin"/>
      </w:r>
      <w:r>
        <w:instrText xml:space="preserve"> HYPERLINK "https://doi.org/10.1080/09649069.2024.2344935" </w:instrText>
      </w:r>
      <w:r>
        <w:rPr/>
        <w:fldChar w:fldCharType="separate"/>
      </w:r>
      <w:r>
        <w:rPr>
          <w:rStyle w:val="style85"/>
          <w:rFonts w:ascii="Times New Roman" w:cs="Times New Roman" w:hAnsi="Times New Roman"/>
          <w:sz w:val="24"/>
          <w:szCs w:val="24"/>
          <w:lang w:val="en-US"/>
        </w:rPr>
        <w:t>https://doi.org/10.1080/09649069.2024.2344935</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6E03D5B6">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Margaria, Alice, ‘Registering Births: What’s Care Got to Do with It?’ [2024] (46)(2) </w:t>
      </w:r>
      <w:r>
        <w:rPr>
          <w:rFonts w:ascii="Times New Roman" w:cs="Times New Roman" w:hAnsi="Times New Roman"/>
          <w:i/>
          <w:iCs/>
          <w:sz w:val="24"/>
          <w:szCs w:val="24"/>
          <w:lang w:val="en-US"/>
        </w:rPr>
        <w:t>Journal of Social Welfare and Family Law</w:t>
      </w:r>
      <w:r>
        <w:rPr>
          <w:rFonts w:ascii="Times New Roman" w:cs="Times New Roman" w:hAnsi="Times New Roman"/>
          <w:sz w:val="24"/>
          <w:szCs w:val="24"/>
          <w:lang w:val="en-US"/>
        </w:rPr>
        <w:t xml:space="preserve"> 226–244 </w:t>
      </w:r>
      <w:r>
        <w:rPr/>
        <w:fldChar w:fldCharType="begin"/>
      </w:r>
      <w:r>
        <w:instrText xml:space="preserve"> HYPERLINK "https://doi.org/10.1080/09649069.2024.2344934" </w:instrText>
      </w:r>
      <w:r>
        <w:rPr/>
        <w:fldChar w:fldCharType="separate"/>
      </w:r>
      <w:r>
        <w:rPr>
          <w:rStyle w:val="style85"/>
          <w:rFonts w:ascii="Times New Roman" w:cs="Times New Roman" w:hAnsi="Times New Roman"/>
          <w:sz w:val="24"/>
          <w:szCs w:val="24"/>
          <w:lang w:val="en-US"/>
        </w:rPr>
        <w:t>https://doi.org/10.1080/09649069.2024.2344934</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5A44F876">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Marinelli, Susanna and others, ‘The Legally Charged Issue of Cross-Border Surrogacy: Current Regulatory Challenges and Future Prospects’ [2024](300) </w:t>
      </w:r>
      <w:r>
        <w:rPr>
          <w:rFonts w:ascii="Times New Roman" w:cs="Times New Roman" w:hAnsi="Times New Roman"/>
          <w:i/>
          <w:iCs/>
          <w:sz w:val="24"/>
          <w:szCs w:val="24"/>
          <w:lang w:val="en-US"/>
        </w:rPr>
        <w:t>European Journal of Obstetrics &amp; Gynecology and Reproductive Biology</w:t>
      </w:r>
      <w:r>
        <w:rPr>
          <w:rFonts w:ascii="Times New Roman" w:cs="Times New Roman" w:hAnsi="Times New Roman"/>
          <w:sz w:val="24"/>
          <w:szCs w:val="24"/>
          <w:lang w:val="en-US"/>
        </w:rPr>
        <w:t xml:space="preserve"> 41–48 </w:t>
      </w:r>
      <w:r>
        <w:rPr/>
        <w:fldChar w:fldCharType="begin"/>
      </w:r>
      <w:r>
        <w:instrText xml:space="preserve"> HYPERLINK "https://doi.org/10.1016/j.ejogrb.2024.06.030" </w:instrText>
      </w:r>
      <w:r>
        <w:rPr/>
        <w:fldChar w:fldCharType="separate"/>
      </w:r>
      <w:r>
        <w:rPr>
          <w:rStyle w:val="style85"/>
          <w:rFonts w:ascii="Times New Roman" w:cs="Times New Roman" w:hAnsi="Times New Roman"/>
          <w:sz w:val="24"/>
          <w:szCs w:val="24"/>
          <w:lang w:val="en-US"/>
        </w:rPr>
        <w:t>https://doi.org/10.1016/j.ejogrb.2024.06.030</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7B79526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Nwogu, Joseph N and others, ‘Roman Catholicism and Fertility among the Mbaise’ [2021] (7)(2) </w:t>
      </w:r>
      <w:r>
        <w:rPr>
          <w:rFonts w:ascii="Times New Roman" w:cs="Times New Roman" w:hAnsi="Times New Roman"/>
          <w:i/>
          <w:iCs/>
          <w:sz w:val="24"/>
          <w:szCs w:val="24"/>
          <w:lang w:val="en-US"/>
        </w:rPr>
        <w:t>Heliyon</w:t>
      </w:r>
      <w:r>
        <w:rPr>
          <w:rFonts w:ascii="Times New Roman" w:cs="Times New Roman" w:hAnsi="Times New Roman"/>
          <w:sz w:val="24"/>
          <w:szCs w:val="24"/>
          <w:lang w:val="en-US"/>
        </w:rPr>
        <w:t xml:space="preserve"> e05929 </w:t>
      </w:r>
      <w:r>
        <w:rPr/>
        <w:fldChar w:fldCharType="begin"/>
      </w:r>
      <w:r>
        <w:instrText xml:space="preserve"> HYPERLINK "https://doi.org/10.1016/j.heliyon.2021.e05929" </w:instrText>
      </w:r>
      <w:r>
        <w:rPr/>
        <w:fldChar w:fldCharType="separate"/>
      </w:r>
      <w:r>
        <w:rPr>
          <w:rStyle w:val="style85"/>
          <w:rFonts w:ascii="Times New Roman" w:cs="Times New Roman" w:hAnsi="Times New Roman"/>
          <w:sz w:val="24"/>
          <w:szCs w:val="24"/>
          <w:lang w:val="en-US"/>
        </w:rPr>
        <w:t>https://doi.org/10.1016/j.heliyon.2021.e05929</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1D2995C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Nwoko, Kenneth Chukwuemeka, ‘Female Husbands in Igbo Land’ [2012] (5)(1) </w:t>
      </w:r>
      <w:r>
        <w:rPr>
          <w:rFonts w:ascii="Times New Roman" w:cs="Times New Roman" w:hAnsi="Times New Roman"/>
          <w:i/>
          <w:iCs/>
          <w:sz w:val="24"/>
          <w:szCs w:val="24"/>
          <w:lang w:val="en-US"/>
        </w:rPr>
        <w:t>Journal of Pan African Studies</w:t>
      </w:r>
      <w:r>
        <w:rPr>
          <w:rFonts w:ascii="Times New Roman" w:cs="Times New Roman" w:hAnsi="Times New Roman"/>
          <w:sz w:val="24"/>
          <w:szCs w:val="24"/>
          <w:lang w:val="en-US"/>
        </w:rPr>
        <w:t xml:space="preserve"> 69–82.</w:t>
      </w:r>
    </w:p>
    <w:p w14:paraId="149B5B85">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Oba, A A, ‘Religious and Customary Laws in Nigeria’ [2011] (25)(2) </w:t>
      </w:r>
      <w:r>
        <w:rPr>
          <w:rFonts w:ascii="Times New Roman" w:cs="Times New Roman" w:hAnsi="Times New Roman"/>
          <w:i/>
          <w:iCs/>
          <w:sz w:val="24"/>
          <w:szCs w:val="24"/>
          <w:lang w:val="en-US"/>
        </w:rPr>
        <w:t>Emory International Law Review</w:t>
      </w:r>
      <w:r>
        <w:rPr>
          <w:rFonts w:ascii="Times New Roman" w:cs="Times New Roman" w:hAnsi="Times New Roman"/>
          <w:sz w:val="24"/>
          <w:szCs w:val="24"/>
          <w:lang w:val="en-US"/>
        </w:rPr>
        <w:t>.</w:t>
      </w:r>
    </w:p>
    <w:p w14:paraId="36C0B57A">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Obadina, Ibrahim Abiodun, ‘Regulating Surrogacy in Nigeria: Issues, Challenges and the Role of Culture’ [2026] </w:t>
      </w:r>
      <w:r>
        <w:rPr>
          <w:rFonts w:ascii="Times New Roman" w:cs="Times New Roman" w:hAnsi="Times New Roman"/>
          <w:i/>
          <w:iCs/>
          <w:sz w:val="24"/>
          <w:szCs w:val="24"/>
          <w:lang w:val="en-US"/>
        </w:rPr>
        <w:t>Journal of African Law</w:t>
      </w:r>
      <w:r>
        <w:rPr>
          <w:rFonts w:ascii="Times New Roman" w:cs="Times New Roman" w:hAnsi="Times New Roman"/>
          <w:sz w:val="24"/>
          <w:szCs w:val="24"/>
          <w:lang w:val="en-US"/>
        </w:rPr>
        <w:t xml:space="preserve"> 1–18 </w:t>
      </w:r>
      <w:r>
        <w:rPr/>
        <w:fldChar w:fldCharType="begin"/>
      </w:r>
      <w:r>
        <w:instrText xml:space="preserve"> HYPERLINK "https://doi.org/10.1017/S0021855325100843" </w:instrText>
      </w:r>
      <w:r>
        <w:rPr/>
        <w:fldChar w:fldCharType="separate"/>
      </w:r>
      <w:r>
        <w:rPr>
          <w:rStyle w:val="style85"/>
          <w:rFonts w:ascii="Times New Roman" w:cs="Times New Roman" w:hAnsi="Times New Roman"/>
          <w:sz w:val="24"/>
          <w:szCs w:val="24"/>
          <w:lang w:val="en-US"/>
        </w:rPr>
        <w:t>https://doi.org/10.1017/S0021855325100843</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7 April 2026.</w:t>
      </w:r>
    </w:p>
    <w:p w14:paraId="60660506">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O’Callaghan, Elaine, ‘Surrogate Born Children’s Access to Information About Their Origins’ [2021] (35)(1) </w:t>
      </w:r>
      <w:r>
        <w:rPr>
          <w:rFonts w:ascii="Times New Roman" w:cs="Times New Roman" w:hAnsi="Times New Roman"/>
          <w:i/>
          <w:iCs/>
          <w:sz w:val="24"/>
          <w:szCs w:val="24"/>
          <w:lang w:val="en-US"/>
        </w:rPr>
        <w:t>International Journal of Law, Policy and the Family</w:t>
      </w:r>
      <w:r>
        <w:rPr>
          <w:rFonts w:ascii="Times New Roman" w:cs="Times New Roman" w:hAnsi="Times New Roman"/>
          <w:sz w:val="24"/>
          <w:szCs w:val="24"/>
          <w:lang w:val="en-US"/>
        </w:rPr>
        <w:t xml:space="preserve"> ebab009 </w:t>
      </w:r>
      <w:r>
        <w:rPr/>
        <w:fldChar w:fldCharType="begin"/>
      </w:r>
      <w:r>
        <w:instrText xml:space="preserve"> HYPERLINK "https://doi.org/10.1093/lawfam/ebab009" </w:instrText>
      </w:r>
      <w:r>
        <w:rPr/>
        <w:fldChar w:fldCharType="separate"/>
      </w:r>
      <w:r>
        <w:rPr>
          <w:rStyle w:val="style85"/>
          <w:rFonts w:ascii="Times New Roman" w:cs="Times New Roman" w:hAnsi="Times New Roman"/>
          <w:sz w:val="24"/>
          <w:szCs w:val="24"/>
          <w:lang w:val="en-US"/>
        </w:rPr>
        <w:t>https://doi.org/10.1093/lawfam/ebab009</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3A43BF1A">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Oluwaseyi, Olusegun Olaitan and Oladimeji, Olatawura, ‘Surrogacy Agreements and Children’s Rights’ [2021](42)(1) </w:t>
      </w:r>
      <w:r>
        <w:rPr>
          <w:rFonts w:ascii="Times New Roman" w:cs="Times New Roman" w:hAnsi="Times New Roman"/>
          <w:i/>
          <w:iCs/>
          <w:sz w:val="24"/>
          <w:szCs w:val="24"/>
          <w:lang w:val="en-US"/>
        </w:rPr>
        <w:t>Obiter</w:t>
      </w:r>
      <w:r>
        <w:rPr>
          <w:rFonts w:ascii="Times New Roman" w:cs="Times New Roman" w:hAnsi="Times New Roman"/>
          <w:sz w:val="24"/>
          <w:szCs w:val="24"/>
          <w:lang w:val="en-US"/>
        </w:rPr>
        <w:t xml:space="preserve"> 20 </w:t>
      </w:r>
      <w:r>
        <w:rPr/>
        <w:fldChar w:fldCharType="begin"/>
      </w:r>
      <w:r>
        <w:instrText xml:space="preserve"> HYPERLINK "https://doi.org/10.17159/obiter.v42i1.11054" </w:instrText>
      </w:r>
      <w:r>
        <w:rPr/>
        <w:fldChar w:fldCharType="separate"/>
      </w:r>
      <w:r>
        <w:rPr>
          <w:rStyle w:val="style85"/>
          <w:rFonts w:ascii="Times New Roman" w:cs="Times New Roman" w:hAnsi="Times New Roman"/>
          <w:sz w:val="24"/>
          <w:szCs w:val="24"/>
          <w:lang w:val="en-US"/>
        </w:rPr>
        <w:t>https://doi.org/10.17159/obiter.v42i1.11054</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24 April 2026.</w:t>
      </w:r>
    </w:p>
    <w:p w14:paraId="27A9E6B1">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Owolabi, A A, ‘Welfare Principle in Child Proceedings’ [1996](9)(2) </w:t>
      </w:r>
      <w:r>
        <w:rPr>
          <w:rFonts w:ascii="Times New Roman" w:cs="Times New Roman" w:hAnsi="Times New Roman"/>
          <w:i/>
          <w:iCs/>
          <w:sz w:val="24"/>
          <w:szCs w:val="24"/>
          <w:lang w:val="en-US"/>
        </w:rPr>
        <w:t>Lagos Law Journal</w:t>
      </w:r>
      <w:r>
        <w:rPr>
          <w:rFonts w:ascii="Times New Roman" w:cs="Times New Roman" w:hAnsi="Times New Roman"/>
          <w:sz w:val="24"/>
          <w:szCs w:val="24"/>
          <w:lang w:val="en-US"/>
        </w:rPr>
        <w:t xml:space="preserve"> 105.</w:t>
      </w:r>
    </w:p>
    <w:p w14:paraId="5FAAE12C">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Perkins, K M, Boulet, S L and others, ‘Gestational Surrogacy in the United States’ [2016] (106)(2) </w:t>
      </w:r>
      <w:r>
        <w:rPr>
          <w:rFonts w:ascii="Times New Roman" w:cs="Times New Roman" w:hAnsi="Times New Roman"/>
          <w:i/>
          <w:iCs/>
          <w:sz w:val="24"/>
          <w:szCs w:val="24"/>
          <w:lang w:val="en-US"/>
        </w:rPr>
        <w:t>Fertility and Sterility</w:t>
      </w:r>
      <w:r>
        <w:rPr>
          <w:rFonts w:ascii="Times New Roman" w:cs="Times New Roman" w:hAnsi="Times New Roman"/>
          <w:sz w:val="24"/>
          <w:szCs w:val="24"/>
          <w:lang w:val="en-US"/>
        </w:rPr>
        <w:t xml:space="preserve"> 435–442.e2 </w:t>
      </w:r>
      <w:r>
        <w:rPr/>
        <w:fldChar w:fldCharType="begin"/>
      </w:r>
      <w:r>
        <w:instrText xml:space="preserve"> HYPERLINK "https://doi.org/10.1016/j.fertnstert.2016.03.050" </w:instrText>
      </w:r>
      <w:r>
        <w:rPr/>
        <w:fldChar w:fldCharType="separate"/>
      </w:r>
      <w:r>
        <w:rPr>
          <w:rStyle w:val="style85"/>
          <w:rFonts w:ascii="Times New Roman" w:cs="Times New Roman" w:hAnsi="Times New Roman"/>
          <w:sz w:val="24"/>
          <w:szCs w:val="24"/>
          <w:lang w:val="en-US"/>
        </w:rPr>
        <w:t>https://doi.org/10.1016/j.fertnstert.2016.03.050</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4D1DBB28">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Pikee, Saxena and others, ‘Surrogacy: Ethical and Legal Issues’ (2012) 37(4) </w:t>
      </w:r>
      <w:r>
        <w:rPr>
          <w:rFonts w:ascii="Times New Roman" w:cs="Times New Roman" w:hAnsi="Times New Roman"/>
          <w:i/>
          <w:iCs/>
          <w:sz w:val="24"/>
          <w:szCs w:val="24"/>
          <w:lang w:val="en-US"/>
        </w:rPr>
        <w:t>Indian Journal of Community Medicine</w:t>
      </w:r>
      <w:r>
        <w:rPr>
          <w:rFonts w:ascii="Times New Roman" w:cs="Times New Roman" w:hAnsi="Times New Roman"/>
          <w:sz w:val="24"/>
          <w:szCs w:val="24"/>
          <w:lang w:val="en-US"/>
        </w:rPr>
        <w:t xml:space="preserve"> 211 </w:t>
      </w:r>
      <w:r>
        <w:rPr/>
        <w:fldChar w:fldCharType="begin"/>
      </w:r>
      <w:r>
        <w:instrText xml:space="preserve"> HYPERLINK "https://doi.org/10.4103/0970-0218.103466" </w:instrText>
      </w:r>
      <w:r>
        <w:rPr/>
        <w:fldChar w:fldCharType="separate"/>
      </w:r>
      <w:r>
        <w:rPr>
          <w:rStyle w:val="style85"/>
          <w:rFonts w:ascii="Times New Roman" w:cs="Times New Roman" w:hAnsi="Times New Roman"/>
          <w:sz w:val="24"/>
          <w:szCs w:val="24"/>
          <w:lang w:val="en-US"/>
        </w:rPr>
        <w:t>https://doi.org/10.4103/0970-0218.103466</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23 February 2026.</w:t>
      </w:r>
    </w:p>
    <w:p w14:paraId="41B46E25">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Pound, Roscoe, ‘The Scope of Sociological Jurisprudence’ [1911] (25) </w:t>
      </w:r>
      <w:r>
        <w:rPr>
          <w:rFonts w:ascii="Times New Roman" w:cs="Times New Roman" w:hAnsi="Times New Roman"/>
          <w:i/>
          <w:iCs/>
          <w:sz w:val="24"/>
          <w:szCs w:val="24"/>
          <w:lang w:val="en-US"/>
        </w:rPr>
        <w:t>Harvard Law Review</w:t>
      </w:r>
      <w:r>
        <w:rPr>
          <w:rFonts w:ascii="Times New Roman" w:cs="Times New Roman" w:hAnsi="Times New Roman"/>
          <w:sz w:val="24"/>
          <w:szCs w:val="24"/>
          <w:lang w:val="en-US"/>
        </w:rPr>
        <w:t>.</w:t>
      </w:r>
    </w:p>
    <w:p w14:paraId="6F02FC3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Romanis, Elizabeth Chloe and Brown, Alan, ‘Legal Parenthood and Reproductive Biosex’ [2025] 88(1) </w:t>
      </w:r>
      <w:r>
        <w:rPr>
          <w:rFonts w:ascii="Times New Roman" w:cs="Times New Roman" w:hAnsi="Times New Roman"/>
          <w:i/>
          <w:iCs/>
          <w:sz w:val="24"/>
          <w:szCs w:val="24"/>
          <w:lang w:val="en-US"/>
        </w:rPr>
        <w:t>Modern Law Review</w:t>
      </w:r>
      <w:r>
        <w:rPr>
          <w:rFonts w:ascii="Times New Roman" w:cs="Times New Roman" w:hAnsi="Times New Roman"/>
          <w:sz w:val="24"/>
          <w:szCs w:val="24"/>
          <w:lang w:val="en-US"/>
        </w:rPr>
        <w:t xml:space="preserve"> 155–191 </w:t>
      </w:r>
      <w:r>
        <w:rPr/>
        <w:fldChar w:fldCharType="begin"/>
      </w:r>
      <w:r>
        <w:instrText xml:space="preserve"> HYPERLINK "https://doi.org/10.1111/1468-2230.12914" </w:instrText>
      </w:r>
      <w:r>
        <w:rPr/>
        <w:fldChar w:fldCharType="separate"/>
      </w:r>
      <w:r>
        <w:rPr>
          <w:rStyle w:val="style85"/>
          <w:rFonts w:ascii="Times New Roman" w:cs="Times New Roman" w:hAnsi="Times New Roman"/>
          <w:sz w:val="24"/>
          <w:szCs w:val="24"/>
          <w:lang w:val="en-US"/>
        </w:rPr>
        <w:t>https://doi.org/10.1111/1468-2230.12914</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1837A2B1">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Shenfield, F and others, ‘Ethical Considerations on Surrogacy’ [2025] (40)(3) </w:t>
      </w:r>
      <w:r>
        <w:rPr>
          <w:rFonts w:ascii="Times New Roman" w:cs="Times New Roman" w:hAnsi="Times New Roman"/>
          <w:i/>
          <w:iCs/>
          <w:sz w:val="24"/>
          <w:szCs w:val="24"/>
          <w:lang w:val="en-US"/>
        </w:rPr>
        <w:t>Human Reproduction</w:t>
      </w:r>
      <w:r>
        <w:rPr>
          <w:rFonts w:ascii="Times New Roman" w:cs="Times New Roman" w:hAnsi="Times New Roman"/>
          <w:sz w:val="24"/>
          <w:szCs w:val="24"/>
          <w:lang w:val="en-US"/>
        </w:rPr>
        <w:t xml:space="preserve"> 420–425 </w:t>
      </w:r>
      <w:r>
        <w:rPr/>
        <w:fldChar w:fldCharType="begin"/>
      </w:r>
      <w:r>
        <w:instrText xml:space="preserve"> HYPERLINK "https://doi.org/10.1093/humrep/deaf006" </w:instrText>
      </w:r>
      <w:r>
        <w:rPr/>
        <w:fldChar w:fldCharType="separate"/>
      </w:r>
      <w:r>
        <w:rPr>
          <w:rStyle w:val="style85"/>
          <w:rFonts w:ascii="Times New Roman" w:cs="Times New Roman" w:hAnsi="Times New Roman"/>
          <w:sz w:val="24"/>
          <w:szCs w:val="24"/>
          <w:lang w:val="en-US"/>
        </w:rPr>
        <w:t>https://doi.org/10.1093/humrep/deaf006</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7 April 2026.</w:t>
      </w:r>
    </w:p>
    <w:p w14:paraId="524E5832">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Tesfaye, Meiraf G, ‘What Makes a Parent? Challenging the Importance of a Genetic Link for Legal Parenthood in International Surrogacy Arrangements’ [2022] (36)(1) </w:t>
      </w:r>
      <w:r>
        <w:rPr>
          <w:rFonts w:ascii="Times New Roman" w:cs="Times New Roman" w:hAnsi="Times New Roman"/>
          <w:i/>
          <w:iCs/>
          <w:sz w:val="24"/>
          <w:szCs w:val="24"/>
          <w:lang w:val="en-US"/>
        </w:rPr>
        <w:t>International Journal of Law, Policy and the Family</w:t>
      </w:r>
      <w:r>
        <w:rPr>
          <w:rFonts w:ascii="Times New Roman" w:cs="Times New Roman" w:hAnsi="Times New Roman"/>
          <w:sz w:val="24"/>
          <w:szCs w:val="24"/>
          <w:lang w:val="en-US"/>
        </w:rPr>
        <w:t xml:space="preserve"> ebac010 </w:t>
      </w:r>
      <w:r>
        <w:rPr/>
        <w:fldChar w:fldCharType="begin"/>
      </w:r>
      <w:r>
        <w:instrText xml:space="preserve"> HYPERLINK "https://doi.org/10.1093/lawfam/ebac010" </w:instrText>
      </w:r>
      <w:r>
        <w:rPr/>
        <w:fldChar w:fldCharType="separate"/>
      </w:r>
      <w:r>
        <w:rPr>
          <w:rStyle w:val="style85"/>
          <w:rFonts w:ascii="Times New Roman" w:cs="Times New Roman" w:hAnsi="Times New Roman"/>
          <w:sz w:val="24"/>
          <w:szCs w:val="24"/>
          <w:lang w:val="en-US"/>
        </w:rPr>
        <w:t>https://doi.org/10.1093/lawfam/ebac010</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5DA3A397">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Tobin, John, ‘The Convention on the Rights of the Child and Childhood’ [2026](16)(1) </w:t>
      </w:r>
      <w:r>
        <w:rPr>
          <w:rFonts w:ascii="Times New Roman" w:cs="Times New Roman" w:hAnsi="Times New Roman"/>
          <w:i/>
          <w:iCs/>
          <w:sz w:val="24"/>
          <w:szCs w:val="24"/>
          <w:lang w:val="en-US"/>
        </w:rPr>
        <w:t>Global Studies of Childhood</w:t>
      </w:r>
      <w:r>
        <w:rPr>
          <w:rFonts w:ascii="Times New Roman" w:cs="Times New Roman" w:hAnsi="Times New Roman"/>
          <w:sz w:val="24"/>
          <w:szCs w:val="24"/>
          <w:lang w:val="en-US"/>
        </w:rPr>
        <w:t xml:space="preserve"> 37–50 </w:t>
      </w:r>
      <w:r>
        <w:rPr/>
        <w:fldChar w:fldCharType="begin"/>
      </w:r>
      <w:r>
        <w:instrText xml:space="preserve"> HYPERLINK "https://doi.org/10.1177/20436106251387809" </w:instrText>
      </w:r>
      <w:r>
        <w:rPr/>
        <w:fldChar w:fldCharType="separate"/>
      </w:r>
      <w:r>
        <w:rPr>
          <w:rStyle w:val="style85"/>
          <w:rFonts w:ascii="Times New Roman" w:cs="Times New Roman" w:hAnsi="Times New Roman"/>
          <w:sz w:val="24"/>
          <w:szCs w:val="24"/>
          <w:lang w:val="en-US"/>
        </w:rPr>
        <w:t>https://doi.org/10.1177/20436106251387809</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7 April 2026.</w:t>
      </w:r>
    </w:p>
    <w:p w14:paraId="18D68FB8">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Tryfonidou, Alina, ‘The Cross-Border Legal Recognition of Parenthood under European Law: Current Law and Future Prospects’ [2024] (46)(2) </w:t>
      </w:r>
      <w:r>
        <w:rPr>
          <w:rFonts w:ascii="Times New Roman" w:cs="Times New Roman" w:hAnsi="Times New Roman"/>
          <w:i/>
          <w:iCs/>
          <w:sz w:val="24"/>
          <w:szCs w:val="24"/>
          <w:lang w:val="en-US"/>
        </w:rPr>
        <w:t>Journal of Social Welfare and Family Law</w:t>
      </w:r>
      <w:r>
        <w:rPr>
          <w:rFonts w:ascii="Times New Roman" w:cs="Times New Roman" w:hAnsi="Times New Roman"/>
          <w:sz w:val="24"/>
          <w:szCs w:val="24"/>
          <w:lang w:val="en-US"/>
        </w:rPr>
        <w:t xml:space="preserve"> 267–285 </w:t>
      </w:r>
      <w:r>
        <w:rPr/>
        <w:fldChar w:fldCharType="begin"/>
      </w:r>
      <w:r>
        <w:instrText xml:space="preserve"> HYPERLINK "https://doi.org/10.1080/09649069.2024.2344936" </w:instrText>
      </w:r>
      <w:r>
        <w:rPr/>
        <w:fldChar w:fldCharType="separate"/>
      </w:r>
      <w:r>
        <w:rPr>
          <w:rStyle w:val="style85"/>
          <w:rFonts w:ascii="Times New Roman" w:cs="Times New Roman" w:hAnsi="Times New Roman"/>
          <w:sz w:val="24"/>
          <w:szCs w:val="24"/>
          <w:lang w:val="en-US"/>
        </w:rPr>
        <w:t>https://doi.org/10.1080/09649069.2024.2344936</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19 April 2026.</w:t>
      </w:r>
    </w:p>
    <w:p w14:paraId="6BDF04E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Tueller, Jessica, ‘Parentage, Genetics and Surrogacy’ [2025](59)(3) </w:t>
      </w:r>
      <w:r>
        <w:rPr>
          <w:rFonts w:ascii="Times New Roman" w:cs="Times New Roman" w:hAnsi="Times New Roman"/>
          <w:i/>
          <w:iCs/>
          <w:sz w:val="24"/>
          <w:szCs w:val="24"/>
          <w:lang w:val="en-US"/>
        </w:rPr>
        <w:t>Georgia Law Review</w:t>
      </w:r>
      <w:r>
        <w:rPr>
          <w:rFonts w:ascii="Times New Roman" w:cs="Times New Roman" w:hAnsi="Times New Roman"/>
          <w:sz w:val="24"/>
          <w:szCs w:val="24"/>
          <w:lang w:val="en-US"/>
        </w:rPr>
        <w:t xml:space="preserve"> 779–850 </w:t>
      </w:r>
      <w:r>
        <w:rPr/>
        <w:fldChar w:fldCharType="begin"/>
      </w:r>
      <w:r>
        <w:instrText xml:space="preserve"> HYPERLINK "https://georgialawreview.org/wp-content/uploads/2025/07/Jessica-Tueller_On-Parentage-Genetics-and-Surrogacy.pdf" </w:instrText>
      </w:r>
      <w:r>
        <w:rPr/>
        <w:fldChar w:fldCharType="separate"/>
      </w:r>
      <w:r>
        <w:rPr>
          <w:rStyle w:val="style85"/>
          <w:rFonts w:ascii="Times New Roman" w:cs="Times New Roman" w:hAnsi="Times New Roman"/>
          <w:sz w:val="24"/>
          <w:szCs w:val="24"/>
          <w:lang w:val="en-US"/>
        </w:rPr>
        <w:t>https://georgialawreview.org/wp-content/uploads/2025/07/Jessica-Tueller_On-Parentage-Genetics-and-Surrogacy.pdf</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049DBEEF">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Valc, Jakub, ‘International Consensus on Cross-Border Surrogacy’ [2025](33)(3) </w:t>
      </w:r>
      <w:r>
        <w:rPr>
          <w:rFonts w:ascii="Times New Roman" w:cs="Times New Roman" w:hAnsi="Times New Roman"/>
          <w:i/>
          <w:iCs/>
          <w:sz w:val="24"/>
          <w:szCs w:val="24"/>
          <w:lang w:val="en-US"/>
        </w:rPr>
        <w:t>Medical Law Review</w:t>
      </w:r>
      <w:r>
        <w:rPr>
          <w:rFonts w:ascii="Times New Roman" w:cs="Times New Roman" w:hAnsi="Times New Roman"/>
          <w:sz w:val="24"/>
          <w:szCs w:val="24"/>
          <w:lang w:val="en-US"/>
        </w:rPr>
        <w:t xml:space="preserve"> fwaf029 </w:t>
      </w:r>
      <w:r>
        <w:rPr/>
        <w:fldChar w:fldCharType="begin"/>
      </w:r>
      <w:r>
        <w:instrText xml:space="preserve"> HYPERLINK "https://doi.org/10.1093/medlaw/fwaf029" </w:instrText>
      </w:r>
      <w:r>
        <w:rPr/>
        <w:fldChar w:fldCharType="separate"/>
      </w:r>
      <w:r>
        <w:rPr>
          <w:rStyle w:val="style85"/>
          <w:rFonts w:ascii="Times New Roman" w:cs="Times New Roman" w:hAnsi="Times New Roman"/>
          <w:sz w:val="24"/>
          <w:szCs w:val="24"/>
          <w:lang w:val="en-US"/>
        </w:rPr>
        <w:t>https://doi.org/10.1093/medlaw/fwaf029</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075CAD28">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Zucker, David J, ‘Surrogacy in Genesis’ [2021] (76)(1) </w:t>
      </w:r>
      <w:r>
        <w:rPr>
          <w:rFonts w:ascii="Times New Roman" w:cs="Times New Roman" w:hAnsi="Times New Roman"/>
          <w:i/>
          <w:iCs/>
          <w:sz w:val="24"/>
          <w:szCs w:val="24"/>
          <w:lang w:val="en-US"/>
        </w:rPr>
        <w:t>Anglican Theological Journal</w:t>
      </w:r>
      <w:r>
        <w:rPr>
          <w:rFonts w:ascii="Times New Roman" w:cs="Times New Roman" w:hAnsi="Times New Roman"/>
          <w:sz w:val="24"/>
          <w:szCs w:val="24"/>
          <w:lang w:val="en-US"/>
        </w:rPr>
        <w:t xml:space="preserve"> 9–24 </w:t>
      </w:r>
      <w:r>
        <w:rPr/>
        <w:fldChar w:fldCharType="begin"/>
      </w:r>
      <w:r>
        <w:instrText xml:space="preserve"> HYPERLINK "https://doi.org/10.7252/Journal.01.2021S.02%20accessed%2027%20April%202026" </w:instrText>
      </w:r>
      <w:r>
        <w:rPr/>
        <w:fldChar w:fldCharType="separate"/>
      </w:r>
      <w:r>
        <w:rPr>
          <w:rStyle w:val="style85"/>
          <w:rFonts w:ascii="Times New Roman" w:cs="Times New Roman" w:hAnsi="Times New Roman"/>
          <w:sz w:val="24"/>
          <w:szCs w:val="24"/>
          <w:lang w:val="en-US"/>
        </w:rPr>
        <w:t>https://doi.org/10.7252/Journal.01.2021S.02 accessed 27 April 2026</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w:t>
      </w:r>
    </w:p>
    <w:p w14:paraId="5431E084">
      <w:pPr>
        <w:pStyle w:val="style0"/>
        <w:rPr>
          <w:rFonts w:ascii="Times New Roman" w:cs="Times New Roman" w:hAnsi="Times New Roman"/>
          <w:sz w:val="24"/>
          <w:szCs w:val="24"/>
          <w:lang w:val="en-US"/>
        </w:rPr>
      </w:pPr>
    </w:p>
    <w:p w14:paraId="260B940A">
      <w:pPr>
        <w:pStyle w:val="style0"/>
        <w:rPr>
          <w:rFonts w:ascii="Times New Roman" w:cs="Times New Roman" w:hAnsi="Times New Roman"/>
          <w:b/>
          <w:sz w:val="24"/>
          <w:szCs w:val="24"/>
          <w:lang w:val="en-US"/>
        </w:rPr>
      </w:pPr>
      <w:r>
        <w:rPr>
          <w:rFonts w:ascii="Times New Roman" w:cs="Times New Roman" w:hAnsi="Times New Roman"/>
          <w:b/>
          <w:sz w:val="24"/>
          <w:szCs w:val="24"/>
          <w:lang w:val="en-US"/>
        </w:rPr>
        <w:t>Internet Materials</w:t>
      </w:r>
    </w:p>
    <w:p w14:paraId="29D08338">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Access to Justice &amp; Law Reform Institute of Nova Scotia, ‘Extending Legal Parentage’ </w:t>
      </w:r>
      <w:r>
        <w:rPr/>
        <w:fldChar w:fldCharType="begin"/>
      </w:r>
      <w:r>
        <w:instrText xml:space="preserve"> HYPERLINK "https://lawreform.ns.ca/wp-content/uploads/2024/03/Final-Report-Extending-Legal-Parentage-and-ART.pdf" </w:instrText>
      </w:r>
      <w:r>
        <w:rPr/>
        <w:fldChar w:fldCharType="separate"/>
      </w:r>
      <w:r>
        <w:rPr>
          <w:rStyle w:val="style85"/>
          <w:rFonts w:ascii="Times New Roman" w:cs="Times New Roman" w:hAnsi="Times New Roman"/>
          <w:sz w:val="24"/>
          <w:szCs w:val="24"/>
          <w:lang w:val="en-US"/>
        </w:rPr>
        <w:t>https://lawreform.ns.ca/wp-content/uploads/2024/03/Final-Report-Extending-Legal-Parentage-and-ART.pdf</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2A0CFBF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African Union, ‘African Charter on Human and Peoples’ Rights’ </w:t>
      </w:r>
      <w:r>
        <w:rPr/>
        <w:fldChar w:fldCharType="begin"/>
      </w:r>
      <w:r>
        <w:instrText xml:space="preserve"> HYPERLINK "https://au.int/en/treaties/african-charter-human-and-peoples-rights" </w:instrText>
      </w:r>
      <w:r>
        <w:rPr/>
        <w:fldChar w:fldCharType="separate"/>
      </w:r>
      <w:r>
        <w:rPr>
          <w:rStyle w:val="style85"/>
          <w:rFonts w:ascii="Times New Roman" w:cs="Times New Roman" w:hAnsi="Times New Roman"/>
          <w:sz w:val="24"/>
          <w:szCs w:val="24"/>
          <w:lang w:val="en-US"/>
        </w:rPr>
        <w:t>https://au.int/en/treaties/african-charter-human-and-peoples-rights</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24 April 2026.</w:t>
      </w:r>
    </w:p>
    <w:p w14:paraId="4C2FCBD3">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African Union, ‘African Charter on the Rights and Welfare of the Child’ </w:t>
      </w:r>
      <w:r>
        <w:rPr/>
        <w:fldChar w:fldCharType="begin"/>
      </w:r>
      <w:r>
        <w:instrText xml:space="preserve"> HYPERLINK "https://au.int/sites/default/files/treaties/36804-treaty-african_charter_on_rights_welfare_of_the_child.pdf" </w:instrText>
      </w:r>
      <w:r>
        <w:rPr/>
        <w:fldChar w:fldCharType="separate"/>
      </w:r>
      <w:r>
        <w:rPr>
          <w:rStyle w:val="style85"/>
          <w:rFonts w:ascii="Times New Roman" w:cs="Times New Roman" w:hAnsi="Times New Roman"/>
          <w:sz w:val="24"/>
          <w:szCs w:val="24"/>
          <w:lang w:val="en-US"/>
        </w:rPr>
        <w:t>https://au.int/sites/default/files/treaties/36804-treaty-african_charter_on_rights_welfare_of_the_child.pdf</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22 April 2026.</w:t>
      </w:r>
    </w:p>
    <w:p w14:paraId="4B1823C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Alozie, Bright, ‘Woman-to-Woman Marriage’ </w:t>
      </w:r>
      <w:r>
        <w:rPr>
          <w:rFonts w:ascii="Times New Roman" w:cs="Times New Roman" w:hAnsi="Times New Roman"/>
          <w:i/>
          <w:iCs/>
          <w:sz w:val="24"/>
          <w:szCs w:val="24"/>
          <w:lang w:val="en-US"/>
        </w:rPr>
        <w:t>Oxford Research Encyclopedia of African History</w:t>
      </w:r>
      <w:r>
        <w:rPr>
          <w:rFonts w:ascii="Times New Roman" w:cs="Times New Roman" w:hAnsi="Times New Roman"/>
          <w:sz w:val="24"/>
          <w:szCs w:val="24"/>
          <w:lang w:val="en-US"/>
        </w:rPr>
        <w:t xml:space="preserve"> </w:t>
      </w:r>
      <w:r>
        <w:rPr/>
        <w:fldChar w:fldCharType="begin"/>
      </w:r>
      <w:r>
        <w:instrText xml:space="preserve"> HYPERLINK "https://doi.org/10.1093/acrefore/9780190277734.013.1546" </w:instrText>
      </w:r>
      <w:r>
        <w:rPr/>
        <w:fldChar w:fldCharType="separate"/>
      </w:r>
      <w:r>
        <w:rPr>
          <w:rStyle w:val="style85"/>
          <w:rFonts w:ascii="Times New Roman" w:cs="Times New Roman" w:hAnsi="Times New Roman"/>
          <w:sz w:val="24"/>
          <w:szCs w:val="24"/>
          <w:lang w:val="en-US"/>
        </w:rPr>
        <w:t>https://doi.org/10.1093/acrefore/9780190277734.013.1546</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477E5375">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Atoyebi, O M and Idowu, Jesutofunmi, ‘Analysis of the Nigeria Surrogacy Regulatory Commission Bill (2024)’ </w:t>
      </w:r>
      <w:r>
        <w:rPr>
          <w:rFonts w:ascii="Times New Roman" w:cs="Times New Roman" w:hAnsi="Times New Roman"/>
          <w:i/>
          <w:iCs/>
          <w:sz w:val="24"/>
          <w:szCs w:val="24"/>
          <w:lang w:val="en-US"/>
        </w:rPr>
        <w:t>Omaplex Law Firm</w:t>
      </w:r>
      <w:r>
        <w:rPr>
          <w:rFonts w:ascii="Times New Roman" w:cs="Times New Roman" w:hAnsi="Times New Roman"/>
          <w:sz w:val="24"/>
          <w:szCs w:val="24"/>
          <w:lang w:val="en-US"/>
        </w:rPr>
        <w:t xml:space="preserve">, 9 December 2024 </w:t>
      </w:r>
      <w:r>
        <w:rPr/>
        <w:fldChar w:fldCharType="begin"/>
      </w:r>
      <w:r>
        <w:instrText xml:space="preserve"> HYPERLINK "https://omaplex.com.ng/analysis-of-the-nigeria-surrogacy-regulatory-commission-bill-2024/" </w:instrText>
      </w:r>
      <w:r>
        <w:rPr/>
        <w:fldChar w:fldCharType="separate"/>
      </w:r>
      <w:r>
        <w:rPr>
          <w:rStyle w:val="style85"/>
          <w:rFonts w:ascii="Times New Roman" w:cs="Times New Roman" w:hAnsi="Times New Roman"/>
          <w:sz w:val="24"/>
          <w:szCs w:val="24"/>
          <w:lang w:val="en-US"/>
        </w:rPr>
        <w:t>https://omaplex.com.ng/analysis-of-the-nigeria-surrogacy-regulatory-commission-bill-2024/</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70B7272F">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BBC News, ‘IVF: Single Women on Why They Had Babies Alone Through Sperm Donors’ </w:t>
      </w:r>
      <w:r>
        <w:rPr/>
        <w:fldChar w:fldCharType="begin"/>
      </w:r>
      <w:r>
        <w:instrText xml:space="preserve"> HYPERLINK "https://www.bbc.com/news/articles/c99relz9x4po" </w:instrText>
      </w:r>
      <w:r>
        <w:rPr/>
        <w:fldChar w:fldCharType="separate"/>
      </w:r>
      <w:r>
        <w:rPr>
          <w:rStyle w:val="style85"/>
          <w:rFonts w:ascii="Times New Roman" w:cs="Times New Roman" w:hAnsi="Times New Roman"/>
          <w:sz w:val="24"/>
          <w:szCs w:val="24"/>
          <w:lang w:val="en-US"/>
        </w:rPr>
        <w:t>https://www.bbc.com/news/articles/c99relz9x4po</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23 March 2026.</w:t>
      </w:r>
    </w:p>
    <w:p w14:paraId="138D2931">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Compos Mentis Chambers, ‘A Bill to Criminalise Commercial Surrogacy in Nigeria Scales First Reading’ </w:t>
      </w:r>
      <w:r>
        <w:rPr/>
        <w:fldChar w:fldCharType="begin"/>
      </w:r>
      <w:r>
        <w:instrText xml:space="preserve"> HYPERLINK "https://compos-mentis.com/a-bill-to-criminalise-commercial-surrogacy-in-nigeria-scales-first-reading/" </w:instrText>
      </w:r>
      <w:r>
        <w:rPr/>
        <w:fldChar w:fldCharType="separate"/>
      </w:r>
      <w:r>
        <w:rPr>
          <w:rStyle w:val="style85"/>
          <w:rFonts w:ascii="Times New Roman" w:cs="Times New Roman" w:hAnsi="Times New Roman"/>
          <w:sz w:val="24"/>
          <w:szCs w:val="24"/>
          <w:lang w:val="en-US"/>
        </w:rPr>
        <w:t>https://compos-mentis.com/a-bill-to-criminalise-commercial-surrogacy-in-nigeria-scales-first-reading/</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3 April 2026.</w:t>
      </w:r>
    </w:p>
    <w:p w14:paraId="5F88719F">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Dania, O, ‘Court Orders DNA Test in Mohbad Case’ </w:t>
      </w:r>
      <w:r>
        <w:rPr>
          <w:rFonts w:ascii="Times New Roman" w:cs="Times New Roman" w:hAnsi="Times New Roman"/>
          <w:i/>
          <w:iCs/>
          <w:sz w:val="24"/>
          <w:szCs w:val="24"/>
          <w:lang w:val="en-US"/>
        </w:rPr>
        <w:t>Punch</w:t>
      </w:r>
      <w:r>
        <w:rPr>
          <w:rFonts w:ascii="Times New Roman" w:cs="Times New Roman" w:hAnsi="Times New Roman"/>
          <w:sz w:val="24"/>
          <w:szCs w:val="24"/>
          <w:lang w:val="en-US"/>
        </w:rPr>
        <w:t xml:space="preserve">, 2 September 2025 </w:t>
      </w:r>
      <w:r>
        <w:rPr/>
        <w:fldChar w:fldCharType="begin"/>
      </w:r>
      <w:r>
        <w:instrText xml:space="preserve"> HYPERLINK "https://punchng.com/court-orders-dna-tests-to-confirm-paternity-of-mohbads-son/" </w:instrText>
      </w:r>
      <w:r>
        <w:rPr/>
        <w:fldChar w:fldCharType="separate"/>
      </w:r>
      <w:r>
        <w:rPr>
          <w:rStyle w:val="style85"/>
          <w:rFonts w:ascii="Times New Roman" w:cs="Times New Roman" w:hAnsi="Times New Roman"/>
          <w:sz w:val="24"/>
          <w:szCs w:val="24"/>
          <w:lang w:val="en-US"/>
        </w:rPr>
        <w:t>https://punchng.com/court-orders-dna-tests-to-confirm-paternity-of-mohbads-son/</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25 April 2026.</w:t>
      </w:r>
    </w:p>
    <w:p w14:paraId="1E64AA4E">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Fertility Law Center, ‘Embryo Donation Agreements’ </w:t>
      </w:r>
      <w:r>
        <w:rPr/>
        <w:fldChar w:fldCharType="begin"/>
      </w:r>
      <w:r>
        <w:instrText xml:space="preserve"> HYPERLINK "https://fertilitylawcenter.com/embryo-donation-agreements" </w:instrText>
      </w:r>
      <w:r>
        <w:rPr/>
        <w:fldChar w:fldCharType="separate"/>
      </w:r>
      <w:r>
        <w:rPr>
          <w:rStyle w:val="style85"/>
          <w:rFonts w:ascii="Times New Roman" w:cs="Times New Roman" w:hAnsi="Times New Roman"/>
          <w:sz w:val="24"/>
          <w:szCs w:val="24"/>
          <w:lang w:val="en-US"/>
        </w:rPr>
        <w:t>https://fertilitylawcenter.com/embryo-donation-agreements</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8 June 2026.</w:t>
      </w:r>
    </w:p>
    <w:p w14:paraId="3B0AC6AC">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Glazebrook, J S, ‘Custom and the Constitution’ </w:t>
      </w:r>
      <w:r>
        <w:rPr>
          <w:rFonts w:ascii="Times New Roman" w:cs="Times New Roman" w:hAnsi="Times New Roman"/>
          <w:i/>
          <w:iCs/>
          <w:sz w:val="24"/>
          <w:szCs w:val="24"/>
          <w:lang w:val="en-US"/>
        </w:rPr>
        <w:t>SSRN</w:t>
      </w:r>
      <w:r>
        <w:rPr>
          <w:rFonts w:ascii="Times New Roman" w:cs="Times New Roman" w:hAnsi="Times New Roman"/>
          <w:sz w:val="24"/>
          <w:szCs w:val="24"/>
          <w:lang w:val="en-US"/>
        </w:rPr>
        <w:t xml:space="preserve"> </w:t>
      </w:r>
      <w:r>
        <w:rPr/>
        <w:fldChar w:fldCharType="begin"/>
      </w:r>
      <w:r>
        <w:instrText xml:space="preserve"> HYPERLINK "https://papers.ssrn.com/sol3/papers.cfm?abstract_id=4659049" </w:instrText>
      </w:r>
      <w:r>
        <w:rPr/>
        <w:fldChar w:fldCharType="separate"/>
      </w:r>
      <w:r>
        <w:rPr>
          <w:rStyle w:val="style85"/>
          <w:rFonts w:ascii="Times New Roman" w:cs="Times New Roman" w:hAnsi="Times New Roman"/>
          <w:sz w:val="24"/>
          <w:szCs w:val="24"/>
          <w:lang w:val="en-US"/>
        </w:rPr>
        <w:t>https://papers.ssrn.com/sol3/papers.cfm?abstract_id=4659049</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26 April 2026.</w:t>
      </w:r>
    </w:p>
    <w:p w14:paraId="657A3035">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HCCH, ‘Parentage/Surrogacy Project’ </w:t>
      </w:r>
      <w:r>
        <w:rPr/>
        <w:fldChar w:fldCharType="begin"/>
      </w:r>
      <w:r>
        <w:instrText xml:space="preserve"> HYPERLINK "https://www.hcch.net/en/projects/legislative-projects/parentage-surrogacy" </w:instrText>
      </w:r>
      <w:r>
        <w:rPr/>
        <w:fldChar w:fldCharType="separate"/>
      </w:r>
      <w:r>
        <w:rPr>
          <w:rStyle w:val="style85"/>
          <w:rFonts w:ascii="Times New Roman" w:cs="Times New Roman" w:hAnsi="Times New Roman"/>
          <w:sz w:val="24"/>
          <w:szCs w:val="24"/>
          <w:lang w:val="en-US"/>
        </w:rPr>
        <w:t>https://www.hcch.net/en/projects/legislative-projects/parentage-surrogacy</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26 April 2026.</w:t>
      </w:r>
    </w:p>
    <w:p w14:paraId="7B6E892E">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Human Fertilisation and Embryology Authority, </w:t>
      </w:r>
      <w:r>
        <w:rPr>
          <w:rFonts w:ascii="Times New Roman" w:cs="Times New Roman" w:hAnsi="Times New Roman"/>
          <w:i/>
          <w:iCs/>
          <w:sz w:val="24"/>
          <w:szCs w:val="24"/>
          <w:lang w:val="en-US"/>
        </w:rPr>
        <w:t>Code of Practice</w:t>
      </w:r>
      <w:r>
        <w:rPr>
          <w:rFonts w:ascii="Times New Roman" w:cs="Times New Roman" w:hAnsi="Times New Roman"/>
          <w:sz w:val="24"/>
          <w:szCs w:val="24"/>
          <w:lang w:val="en-US"/>
        </w:rPr>
        <w:t xml:space="preserve"> (9th edn, 2021) </w:t>
      </w:r>
      <w:r>
        <w:rPr/>
        <w:fldChar w:fldCharType="begin"/>
      </w:r>
      <w:r>
        <w:instrText xml:space="preserve"> HYPERLINK "https://www.hfea.gov.uk/code-of-practice/" </w:instrText>
      </w:r>
      <w:r>
        <w:rPr/>
        <w:fldChar w:fldCharType="separate"/>
      </w:r>
      <w:r>
        <w:rPr>
          <w:rStyle w:val="style85"/>
          <w:rFonts w:ascii="Times New Roman" w:cs="Times New Roman" w:hAnsi="Times New Roman"/>
          <w:sz w:val="24"/>
          <w:szCs w:val="24"/>
          <w:lang w:val="en-US"/>
        </w:rPr>
        <w:t>https://www.hfea.gov.uk/code-of-practice/</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3 April 2026.</w:t>
      </w:r>
    </w:p>
    <w:p w14:paraId="2A61E1B8">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Lagos State Ministry of Health, </w:t>
      </w:r>
      <w:r>
        <w:rPr>
          <w:rFonts w:ascii="Times New Roman" w:cs="Times New Roman" w:hAnsi="Times New Roman"/>
          <w:i/>
          <w:iCs/>
          <w:sz w:val="24"/>
          <w:szCs w:val="24"/>
          <w:lang w:val="en-US"/>
        </w:rPr>
        <w:t>Assisted Reproductive Technology Policy Document and Practice Guidelines</w:t>
      </w:r>
      <w:r>
        <w:rPr>
          <w:rFonts w:ascii="Times New Roman" w:cs="Times New Roman" w:hAnsi="Times New Roman"/>
          <w:sz w:val="24"/>
          <w:szCs w:val="24"/>
          <w:lang w:val="en-US"/>
        </w:rPr>
        <w:t xml:space="preserve"> (Lagos State Government, 9 May 2019).</w:t>
      </w:r>
    </w:p>
    <w:p w14:paraId="7787F9B8">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Legal Information Institute, ‘Legal Positivism’ </w:t>
      </w:r>
      <w:r>
        <w:rPr>
          <w:rFonts w:ascii="Times New Roman" w:cs="Times New Roman" w:hAnsi="Times New Roman"/>
          <w:i/>
          <w:iCs/>
          <w:sz w:val="24"/>
          <w:szCs w:val="24"/>
          <w:lang w:val="en-US"/>
        </w:rPr>
        <w:t>Stanford Encyclopedia of Philosophy</w:t>
      </w:r>
      <w:r>
        <w:rPr>
          <w:rFonts w:ascii="Times New Roman" w:cs="Times New Roman" w:hAnsi="Times New Roman"/>
          <w:sz w:val="24"/>
          <w:szCs w:val="24"/>
          <w:lang w:val="en-US"/>
        </w:rPr>
        <w:t xml:space="preserve"> </w:t>
      </w:r>
      <w:r>
        <w:rPr/>
        <w:fldChar w:fldCharType="begin"/>
      </w:r>
      <w:r>
        <w:instrText xml:space="preserve"> HYPERLINK "https://plato.stanford.edu/archives/win2025/entries/legal-positivism/" </w:instrText>
      </w:r>
      <w:r>
        <w:rPr/>
        <w:fldChar w:fldCharType="separate"/>
      </w:r>
      <w:r>
        <w:rPr>
          <w:rStyle w:val="style85"/>
          <w:rFonts w:ascii="Times New Roman" w:cs="Times New Roman" w:hAnsi="Times New Roman"/>
          <w:sz w:val="24"/>
          <w:szCs w:val="24"/>
          <w:lang w:val="en-US"/>
        </w:rPr>
        <w:t>https://plato.stanford.edu/archives/win2025/entries/legal-positivism/</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9 June 2026.</w:t>
      </w:r>
    </w:p>
    <w:p w14:paraId="7D0CD381">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Medical and Dental Council of Nigeria, ‘Our Role’ </w:t>
      </w:r>
      <w:r>
        <w:rPr/>
        <w:fldChar w:fldCharType="begin"/>
      </w:r>
      <w:r>
        <w:instrText xml:space="preserve"> HYPERLINK "https://www.mdcn.gov.ng/our-role" </w:instrText>
      </w:r>
      <w:r>
        <w:rPr/>
        <w:fldChar w:fldCharType="separate"/>
      </w:r>
      <w:r>
        <w:rPr>
          <w:rStyle w:val="style85"/>
          <w:rFonts w:ascii="Times New Roman" w:cs="Times New Roman" w:hAnsi="Times New Roman"/>
          <w:sz w:val="24"/>
          <w:szCs w:val="24"/>
          <w:lang w:val="en-US"/>
        </w:rPr>
        <w:t>https://www.mdcn.gov.ng/our-role</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26 April 2026.</w:t>
      </w:r>
    </w:p>
    <w:p w14:paraId="38490B63">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Model United Nations International School of The Hague, </w:t>
      </w:r>
      <w:r>
        <w:rPr>
          <w:rFonts w:ascii="Times New Roman" w:cs="Times New Roman" w:hAnsi="Times New Roman"/>
          <w:i/>
          <w:iCs/>
          <w:sz w:val="24"/>
          <w:szCs w:val="24"/>
          <w:lang w:val="en-US"/>
        </w:rPr>
        <w:t>Research Report: Global Regulations on Surrogacy, Forum: World Health Organization, XXXIII Annual Session 2023</w:t>
      </w:r>
      <w:r>
        <w:rPr>
          <w:rFonts w:ascii="Times New Roman" w:cs="Times New Roman" w:hAnsi="Times New Roman"/>
          <w:sz w:val="24"/>
          <w:szCs w:val="24"/>
          <w:lang w:val="en-US"/>
        </w:rPr>
        <w:t>.</w:t>
      </w:r>
    </w:p>
    <w:p w14:paraId="09DCD792">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National Health Research Ethics Committee of Nigeria, ‘Welcome’ </w:t>
      </w:r>
      <w:r>
        <w:rPr/>
        <w:fldChar w:fldCharType="begin"/>
      </w:r>
      <w:r>
        <w:instrText xml:space="preserve"> HYPERLINK "https://healthresearchwebafrica.org.za/en/nigeria_nhrec/start" </w:instrText>
      </w:r>
      <w:r>
        <w:rPr/>
        <w:fldChar w:fldCharType="separate"/>
      </w:r>
      <w:r>
        <w:rPr>
          <w:rStyle w:val="style85"/>
          <w:rFonts w:ascii="Times New Roman" w:cs="Times New Roman" w:hAnsi="Times New Roman"/>
          <w:sz w:val="24"/>
          <w:szCs w:val="24"/>
          <w:lang w:val="en-US"/>
        </w:rPr>
        <w:t>https://healthresearchwebafrica.org.za/en/nigeria_nhrec/start</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22 April 2026.</w:t>
      </w:r>
    </w:p>
    <w:p w14:paraId="760884C0">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National Identity Management Commission, ‘About NIMC’ </w:t>
      </w:r>
      <w:r>
        <w:rPr/>
        <w:fldChar w:fldCharType="begin"/>
      </w:r>
      <w:r>
        <w:instrText xml:space="preserve"> HYPERLINK "https://nimc.gov.ng/about-nimc" </w:instrText>
      </w:r>
      <w:r>
        <w:rPr/>
        <w:fldChar w:fldCharType="separate"/>
      </w:r>
      <w:r>
        <w:rPr>
          <w:rStyle w:val="style85"/>
          <w:rFonts w:ascii="Times New Roman" w:cs="Times New Roman" w:hAnsi="Times New Roman"/>
          <w:sz w:val="24"/>
          <w:szCs w:val="24"/>
          <w:lang w:val="en-US"/>
        </w:rPr>
        <w:t>https://nimc.gov.ng/about-nimc</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25 April 2026.</w:t>
      </w:r>
    </w:p>
    <w:p w14:paraId="21D8DD0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National Identity Management Commission, ‘Functions and Powers’ </w:t>
      </w:r>
      <w:r>
        <w:rPr/>
        <w:fldChar w:fldCharType="begin"/>
      </w:r>
      <w:r>
        <w:instrText xml:space="preserve"> HYPERLINK "https://nimc.gov.ng/about-nimc" </w:instrText>
      </w:r>
      <w:r>
        <w:rPr/>
        <w:fldChar w:fldCharType="separate"/>
      </w:r>
      <w:r>
        <w:rPr>
          <w:rStyle w:val="style85"/>
          <w:rFonts w:ascii="Times New Roman" w:cs="Times New Roman" w:hAnsi="Times New Roman"/>
          <w:sz w:val="24"/>
          <w:szCs w:val="24"/>
          <w:lang w:val="en-US"/>
        </w:rPr>
        <w:t>https://nimc.gov.ng/about-nimc</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20 April 2026.</w:t>
      </w:r>
    </w:p>
    <w:p w14:paraId="2DFA05D2">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Oladunjoye, B, ‘Surrogacy: Absence of Laws Spurs Unethical Practices in Nigeria’ </w:t>
      </w:r>
      <w:r>
        <w:rPr>
          <w:rFonts w:ascii="Times New Roman" w:cs="Times New Roman" w:hAnsi="Times New Roman"/>
          <w:i/>
          <w:iCs/>
          <w:sz w:val="24"/>
          <w:szCs w:val="24"/>
          <w:lang w:val="en-US"/>
        </w:rPr>
        <w:t>Premium Times</w:t>
      </w:r>
      <w:r>
        <w:rPr>
          <w:rFonts w:ascii="Times New Roman" w:cs="Times New Roman" w:hAnsi="Times New Roman"/>
          <w:sz w:val="24"/>
          <w:szCs w:val="24"/>
          <w:lang w:val="en-US"/>
        </w:rPr>
        <w:t xml:space="preserve">, 13 August 2023 </w:t>
      </w:r>
      <w:r>
        <w:rPr/>
        <w:fldChar w:fldCharType="begin"/>
      </w:r>
      <w:r>
        <w:instrText xml:space="preserve"> HYPERLINK "https://www.premiumtimesng.com/news/615803-surrogacy-absence-of-laws-spurs-unethical-practices-in-nigeria-3.html?tztc=1" </w:instrText>
      </w:r>
      <w:r>
        <w:rPr/>
        <w:fldChar w:fldCharType="separate"/>
      </w:r>
      <w:r>
        <w:rPr>
          <w:rStyle w:val="style85"/>
          <w:rFonts w:ascii="Times New Roman" w:cs="Times New Roman" w:hAnsi="Times New Roman"/>
          <w:sz w:val="24"/>
          <w:szCs w:val="24"/>
          <w:lang w:val="en-US"/>
        </w:rPr>
        <w:t>https://www.premiumtimesng.com/news/615803-surrogacy-absence-of-laws-spurs-unethical-practices-in-nigeria-3.html?tztc=1</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25 April 2026.</w:t>
      </w:r>
    </w:p>
    <w:p w14:paraId="134647C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Olawale, G, ‘Lagos Introduces Measures to Sanitise Fertility Practice’ </w:t>
      </w:r>
      <w:r>
        <w:rPr>
          <w:rFonts w:ascii="Times New Roman" w:cs="Times New Roman" w:hAnsi="Times New Roman"/>
          <w:i/>
          <w:iCs/>
          <w:sz w:val="24"/>
          <w:szCs w:val="24"/>
          <w:lang w:val="en-US"/>
        </w:rPr>
        <w:t>Vanguard</w:t>
      </w:r>
      <w:r>
        <w:rPr>
          <w:rFonts w:ascii="Times New Roman" w:cs="Times New Roman" w:hAnsi="Times New Roman"/>
          <w:sz w:val="24"/>
          <w:szCs w:val="24"/>
          <w:lang w:val="en-US"/>
        </w:rPr>
        <w:t xml:space="preserve">, 14 May 2019 </w:t>
      </w:r>
      <w:r>
        <w:rPr/>
        <w:fldChar w:fldCharType="begin"/>
      </w:r>
      <w:r>
        <w:instrText xml:space="preserve"> HYPERLINK "https://www.vanguardngr.com/2019/05/lagos-introduces-measures-to-sanitise-fertility-practice/" </w:instrText>
      </w:r>
      <w:r>
        <w:rPr/>
        <w:fldChar w:fldCharType="separate"/>
      </w:r>
      <w:r>
        <w:rPr>
          <w:rStyle w:val="style85"/>
          <w:rFonts w:ascii="Times New Roman" w:cs="Times New Roman" w:hAnsi="Times New Roman"/>
          <w:sz w:val="24"/>
          <w:szCs w:val="24"/>
          <w:lang w:val="en-US"/>
        </w:rPr>
        <w:t>https://www.vanguardngr.com/2019/05/lagos-introduces-measures-to-sanitise-fertility-practice/</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23 April 2026.</w:t>
      </w:r>
    </w:p>
    <w:p w14:paraId="41D57525">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United Nations, ‘Convention on the Rights of the Child’ </w:t>
      </w:r>
      <w:r>
        <w:rPr/>
        <w:fldChar w:fldCharType="begin"/>
      </w:r>
      <w:r>
        <w:instrText xml:space="preserve"> HYPERLINK "https://www.ohchr.org/en/instruments-mechanisms/instruments/convention-rights-child" </w:instrText>
      </w:r>
      <w:r>
        <w:rPr/>
        <w:fldChar w:fldCharType="separate"/>
      </w:r>
      <w:r>
        <w:rPr>
          <w:rStyle w:val="style85"/>
          <w:rFonts w:ascii="Times New Roman" w:cs="Times New Roman" w:hAnsi="Times New Roman"/>
          <w:sz w:val="24"/>
          <w:szCs w:val="24"/>
          <w:lang w:val="en-US"/>
        </w:rPr>
        <w:t>https://www.ohchr.org/en/instruments-mechanisms/instruments/convention-rights-child</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26 April 2026.</w:t>
      </w:r>
    </w:p>
    <w:p w14:paraId="231BF632">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UNICEF, ‘Convention on the Rights of the Child’ </w:t>
      </w:r>
      <w:r>
        <w:rPr/>
        <w:fldChar w:fldCharType="begin"/>
      </w:r>
      <w:r>
        <w:instrText xml:space="preserve"> HYPERLINK "https://www.unicef.org/child-rights-convention" </w:instrText>
      </w:r>
      <w:r>
        <w:rPr/>
        <w:fldChar w:fldCharType="separate"/>
      </w:r>
      <w:r>
        <w:rPr>
          <w:rStyle w:val="style85"/>
          <w:rFonts w:ascii="Times New Roman" w:cs="Times New Roman" w:hAnsi="Times New Roman"/>
          <w:sz w:val="24"/>
          <w:szCs w:val="24"/>
          <w:lang w:val="en-US"/>
        </w:rPr>
        <w:t>https://www.unicef.org/child-rights-convention</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20 April 2026.</w:t>
      </w:r>
    </w:p>
    <w:p w14:paraId="4AA32F04">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UNICEF, ‘Children Born of Surrogacy’ </w:t>
      </w:r>
      <w:r>
        <w:rPr/>
        <w:fldChar w:fldCharType="begin"/>
      </w:r>
      <w:r>
        <w:instrText xml:space="preserve"> HYPERLINK "https://www.unicef.org/lac/media/53856/file/Children%20Born%20of%20Surrogacy%20-%20EN%20-%20WEB.pdf" </w:instrText>
      </w:r>
      <w:r>
        <w:rPr/>
        <w:fldChar w:fldCharType="separate"/>
      </w:r>
      <w:r>
        <w:rPr>
          <w:rStyle w:val="style85"/>
          <w:rFonts w:ascii="Times New Roman" w:cs="Times New Roman" w:hAnsi="Times New Roman"/>
          <w:sz w:val="24"/>
          <w:szCs w:val="24"/>
          <w:lang w:val="en-US"/>
        </w:rPr>
        <w:t>https://www.unicef.org/lac/media/53856/file/Children%20Born%20of%20Surrogacy%20-%20EN%20-%20WEB.pdf</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27 April 2026.</w:t>
      </w:r>
    </w:p>
    <w:p w14:paraId="4ADD01A1">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United States Department of State, ‘Assisted Reproductive Technology: US Citizenship Laws and Policies’ </w:t>
      </w:r>
      <w:r>
        <w:rPr/>
        <w:fldChar w:fldCharType="begin"/>
      </w:r>
      <w:r>
        <w:instrText xml:space="preserve"> HYPERLINK "https://travel.state.gov/content/travel/en/legal/travel-legal-considerations/us-citizenship-laws-policies/assisted-reproductive-technology.html" </w:instrText>
      </w:r>
      <w:r>
        <w:rPr/>
        <w:fldChar w:fldCharType="separate"/>
      </w:r>
      <w:r>
        <w:rPr>
          <w:rStyle w:val="style85"/>
          <w:rFonts w:ascii="Times New Roman" w:cs="Times New Roman" w:hAnsi="Times New Roman"/>
          <w:sz w:val="24"/>
          <w:szCs w:val="24"/>
          <w:lang w:val="en-US"/>
        </w:rPr>
        <w:t>https://travel.state.gov/content/travel/en/legal/travel-legal-considerations/us-citizenship-laws-policies/assisted-reproductive-technology.html</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7 April 2026.</w:t>
      </w:r>
    </w:p>
    <w:p w14:paraId="24F3EA4A">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Umeh, J, ‘Lagos Unveils Guidelines to Regulate ART Practice’ </w:t>
      </w:r>
      <w:r>
        <w:rPr/>
        <w:fldChar w:fldCharType="begin"/>
      </w:r>
      <w:r>
        <w:instrText xml:space="preserve"> HYPERLINK "https://www.nigeriahealthonline.com/2019/05/09/lagos-unveils-guidelines-to-regulate-art-practice.nho/" </w:instrText>
      </w:r>
      <w:r>
        <w:rPr/>
        <w:fldChar w:fldCharType="separate"/>
      </w:r>
      <w:r>
        <w:rPr>
          <w:rStyle w:val="style85"/>
          <w:rFonts w:ascii="Times New Roman" w:cs="Times New Roman" w:hAnsi="Times New Roman"/>
          <w:sz w:val="24"/>
          <w:szCs w:val="24"/>
          <w:lang w:val="en-US"/>
        </w:rPr>
        <w:t>https://www.nigeriahealthonline.com/2019/05/09/lagos-unveils-guidelines-to-regulate-art-practice.nho/</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3 April 2026.</w:t>
      </w:r>
    </w:p>
    <w:p w14:paraId="31D1984B">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Vaughn, R B, ‘Assisted Reproductive Technology Law: 10 FAQs’ </w:t>
      </w:r>
      <w:r>
        <w:rPr>
          <w:rFonts w:ascii="Times New Roman" w:cs="Times New Roman" w:hAnsi="Times New Roman"/>
          <w:i/>
          <w:iCs/>
          <w:sz w:val="24"/>
          <w:szCs w:val="24"/>
          <w:lang w:val="en-US"/>
        </w:rPr>
        <w:t>American Bar Association</w:t>
      </w:r>
      <w:r>
        <w:rPr>
          <w:rFonts w:ascii="Times New Roman" w:cs="Times New Roman" w:hAnsi="Times New Roman"/>
          <w:sz w:val="24"/>
          <w:szCs w:val="24"/>
          <w:lang w:val="en-US"/>
        </w:rPr>
        <w:t xml:space="preserve"> </w:t>
      </w:r>
      <w:r>
        <w:rPr/>
        <w:fldChar w:fldCharType="begin"/>
      </w:r>
      <w:r>
        <w:instrText xml:space="preserve"> HYPERLINK "https://www.americanbar.org/groups/family_law/resources/family-advocate/archive/assisted-reproductive-technology-law-10-faqs/" </w:instrText>
      </w:r>
      <w:r>
        <w:rPr/>
        <w:fldChar w:fldCharType="separate"/>
      </w:r>
      <w:r>
        <w:rPr>
          <w:rStyle w:val="style85"/>
          <w:rFonts w:ascii="Times New Roman" w:cs="Times New Roman" w:hAnsi="Times New Roman"/>
          <w:sz w:val="24"/>
          <w:szCs w:val="24"/>
          <w:lang w:val="en-US"/>
        </w:rPr>
        <w:t>https://www.americanbar.org/groups/family_law/resources/family-advocate/archive/assisted-reproductive-technology-law-10-faqs/</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3 April 2026.</w:t>
      </w:r>
    </w:p>
    <w:p w14:paraId="21B8973D">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World Health Organization, ‘1 in 6 People Globally Affected by Infertility: WHO’ </w:t>
      </w:r>
      <w:r>
        <w:rPr/>
        <w:fldChar w:fldCharType="begin"/>
      </w:r>
      <w:r>
        <w:instrText xml:space="preserve"> HYPERLINK "https://www.who.int/news/item/04-04-2023-1-in-6-people-globally-affected-by-infertility" </w:instrText>
      </w:r>
      <w:r>
        <w:rPr/>
        <w:fldChar w:fldCharType="separate"/>
      </w:r>
      <w:r>
        <w:rPr>
          <w:rStyle w:val="style85"/>
          <w:rFonts w:ascii="Times New Roman" w:cs="Times New Roman" w:hAnsi="Times New Roman"/>
          <w:sz w:val="24"/>
          <w:szCs w:val="24"/>
          <w:lang w:val="en-US"/>
        </w:rPr>
        <w:t>https://www.who.int/news/item/04-04-2023-1-in-6-people-globally-affected-by-infertility</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3 April 2026.</w:t>
      </w:r>
    </w:p>
    <w:p w14:paraId="317BAC53">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World Health Organization, ‘Infertility’ </w:t>
      </w:r>
      <w:r>
        <w:rPr/>
        <w:fldChar w:fldCharType="begin"/>
      </w:r>
      <w:r>
        <w:instrText xml:space="preserve"> HYPERLINK "https://www.who.int/news-room/fact-sheets/detail/infertility" </w:instrText>
      </w:r>
      <w:r>
        <w:rPr/>
        <w:fldChar w:fldCharType="separate"/>
      </w:r>
      <w:r>
        <w:rPr>
          <w:rStyle w:val="style85"/>
          <w:rFonts w:ascii="Times New Roman" w:cs="Times New Roman" w:hAnsi="Times New Roman"/>
          <w:sz w:val="24"/>
          <w:szCs w:val="24"/>
          <w:lang w:val="en-US"/>
        </w:rPr>
        <w:t>https://www.who.int/news-room/fact-sheets/detail/infertility</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3 April 2026.</w:t>
      </w:r>
    </w:p>
    <w:p w14:paraId="1F9C6849">
      <w:pPr>
        <w:pStyle w:val="style0"/>
        <w:rPr>
          <w:rFonts w:ascii="Times New Roman" w:cs="Times New Roman" w:hAnsi="Times New Roman"/>
          <w:sz w:val="24"/>
          <w:szCs w:val="24"/>
          <w:lang w:val="en-US"/>
        </w:rPr>
      </w:pPr>
      <w:r>
        <w:rPr>
          <w:rFonts w:ascii="Times New Roman" w:cs="Times New Roman" w:hAnsi="Times New Roman"/>
          <w:sz w:val="24"/>
          <w:szCs w:val="24"/>
          <w:lang w:val="en-US"/>
        </w:rPr>
        <w:t xml:space="preserve">Yakubu, Dirisu, ‘Reps to Criminalise Commercial Surrogacy’ </w:t>
      </w:r>
      <w:r>
        <w:rPr>
          <w:rFonts w:ascii="Times New Roman" w:cs="Times New Roman" w:hAnsi="Times New Roman"/>
          <w:i/>
          <w:iCs/>
          <w:sz w:val="24"/>
          <w:szCs w:val="24"/>
          <w:lang w:val="en-US"/>
        </w:rPr>
        <w:t>Punch</w:t>
      </w:r>
      <w:r>
        <w:rPr>
          <w:rFonts w:ascii="Times New Roman" w:cs="Times New Roman" w:hAnsi="Times New Roman"/>
          <w:sz w:val="24"/>
          <w:szCs w:val="24"/>
          <w:lang w:val="en-US"/>
        </w:rPr>
        <w:t xml:space="preserve">, 26 May 2025 </w:t>
      </w:r>
      <w:r>
        <w:rPr/>
        <w:fldChar w:fldCharType="begin"/>
      </w:r>
      <w:r>
        <w:instrText xml:space="preserve"> HYPERLINK "https://punchng.com/reps-to-criminalise-commercial-surrogacy/" </w:instrText>
      </w:r>
      <w:r>
        <w:rPr/>
        <w:fldChar w:fldCharType="separate"/>
      </w:r>
      <w:r>
        <w:rPr>
          <w:rStyle w:val="style85"/>
          <w:rFonts w:ascii="Times New Roman" w:cs="Times New Roman" w:hAnsi="Times New Roman"/>
          <w:sz w:val="24"/>
          <w:szCs w:val="24"/>
          <w:lang w:val="en-US"/>
        </w:rPr>
        <w:t>https://punchng.com/reps-to-criminalise-commercial-surrogacy/</w:t>
      </w:r>
      <w:r>
        <w:rPr>
          <w:rStyle w:val="style85"/>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accessed 3 April 2026.</w:t>
      </w:r>
    </w:p>
    <w:p w14:paraId="274653CE">
      <w:pPr>
        <w:pStyle w:val="style0"/>
        <w:spacing w:lineRule="auto" w:line="480"/>
        <w:jc w:val="both"/>
        <w:rPr>
          <w:rFonts w:ascii="Times New Roman" w:cs="Times New Roman" w:hAnsi="Times New Roman"/>
          <w:sz w:val="24"/>
          <w:szCs w:val="24"/>
        </w:rPr>
      </w:pPr>
    </w:p>
    <w:sectPr>
      <w:headerReference w:type="default" r:id="rId8"/>
      <w:footerReference w:type="default" r:id="rId9"/>
      <w:pgSz w:w="11907" w:h="16839" w:orient="portrait"/>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2010600030000010101"/>
    <w:charset w:val="86"/>
    <w:family w:val="auto"/>
    <w:pitch w:val="variable"/>
    <w:sig w:usb0="00000003" w:usb1="080E0000" w:usb2="00000010" w:usb3="00000000" w:csb0="00040001" w:csb1="00000000"/>
  </w:font>
  <w:font w:name="SimSun">
    <w:altName w:val="SimSun"/>
    <w:panose1 w:val="02010600030000010101"/>
    <w:charset w:val="86"/>
    <w:family w:val="auto"/>
    <w:pitch w:val="default"/>
    <w:sig w:usb0="00000203" w:usb1="288F0000" w:usb2="00000006" w:usb3="00000000" w:csb0="00040001" w:csb1="00000000"/>
  </w:font>
  <w:font w:name="Arial">
    <w:altName w:val="Arial"/>
    <w:panose1 w:val="020b0604020000020204"/>
    <w:charset w:val="00"/>
    <w:family w:val="swiss"/>
    <w:pitch w:val="default"/>
    <w:sig w:usb0="E0002EFF" w:usb1="C000785B" w:usb2="00000009" w:usb3="00000000" w:csb0="400001FF" w:csb1="FFFF0000"/>
  </w:font>
  <w:font w:name="黑体">
    <w:altName w:val="SimSun"/>
    <w:panose1 w:val="02010600030000010101"/>
    <w:charset w:val="86"/>
    <w:family w:val="auto"/>
    <w:pitch w:val="default"/>
    <w:sig w:usb0="00000001" w:usb1="080E0000" w:usb2="00000010" w:usb3="00000000" w:csb0="00040000" w:csb1="00000000"/>
  </w:font>
  <w:font w:name="Courier New">
    <w:altName w:val="Courier New"/>
    <w:panose1 w:val="02070309020000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0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altName w:val="Tahoma"/>
    <w:panose1 w:val="020b0604030000040204"/>
    <w:charset w:val="00"/>
    <w:family w:val="swiss"/>
    <w:pitch w:val="default"/>
    <w:sig w:usb0="E1002EFF" w:usb1="C000605B" w:usb2="00000029" w:usb3="00000000" w:csb0="200101FF" w:csb1="20280000"/>
  </w:font>
  <w:font w:name="Calibri Light">
    <w:altName w:val="Calibri Light"/>
    <w:panose1 w:val="020f0302020000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7060CC2">
    <w:pPr>
      <w:pStyle w:val="style32"/>
      <w:jc w:val="center"/>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sz w:val="24"/>
        <w:szCs w:val="24"/>
      </w:rPr>
      <w:t>ii</w:t>
    </w:r>
    <w:r>
      <w:rPr>
        <w:rFonts w:ascii="Times New Roman" w:cs="Times New Roman" w:hAnsi="Times New Roman"/>
        <w:sz w:val="24"/>
        <w:szCs w:val="24"/>
      </w:rPr>
      <w:fldChar w:fldCharType="end"/>
    </w:r>
  </w:p>
  <w:p w14:paraId="4D20F126">
    <w:pPr>
      <w:pStyle w:val="style32"/>
      <w:rPr>
        <w:rFonts w:ascii="Times New Roman" w:cs="Times New Roman" w:hAnsi="Times New Roman"/>
        <w:sz w:val="24"/>
        <w:szCs w:val="24"/>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BC208CC">
    <w:pPr>
      <w:pStyle w:val="style32"/>
      <w:jc w:val="center"/>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sz w:val="24"/>
        <w:szCs w:val="24"/>
      </w:rPr>
      <w:t>1</w:t>
    </w:r>
    <w:r>
      <w:rPr>
        <w:rFonts w:ascii="Times New Roman" w:cs="Times New Roman" w:hAnsi="Times New Roman"/>
        <w:sz w:val="24"/>
        <w:szCs w:val="24"/>
      </w:rPr>
      <w:fldChar w:fldCharType="end"/>
    </w:r>
  </w:p>
  <w:p w14:paraId="405D31BC">
    <w:pPr>
      <w:pStyle w:val="style32"/>
      <w:rPr>
        <w:rFonts w:ascii="Times New Roman" w:cs="Times New Roman" w:hAnsi="Times New Roman"/>
        <w:sz w:val="24"/>
        <w:szCs w:val="24"/>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FF910B7">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14:paraId="5182BB1E">
      <w:pPr>
        <w:pStyle w:val="style29"/>
        <w:snapToGrid w:val="false"/>
        <w:ind w:left="1"/>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Nigeria has no single statutory definition of parent; parentage is determined through statute, customary law and common law presumptions. See CRA 2003, ss 19-20 and pt XII; Evidence Act 2011, s 165; Births and Deaths Registration Act 1992; William Blackstone, </w:t>
      </w:r>
      <w:r>
        <w:rPr>
          <w:rFonts w:ascii="Times New Roman" w:cs="Times New Roman" w:hAnsi="Times New Roman"/>
          <w:i/>
          <w:iCs/>
        </w:rPr>
        <w:t>Commentaries, Book I</w:t>
      </w:r>
      <w:r>
        <w:rPr>
          <w:rFonts w:ascii="Times New Roman" w:cs="Times New Roman" w:hAnsi="Times New Roman"/>
        </w:rPr>
        <w:t xml:space="preserve"> (1765).</w:t>
      </w:r>
    </w:p>
  </w:footnote>
  <w:footnote w:id="2">
    <w:p w14:paraId="36C17FFF">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Ester Lazzari and others, ‘ART and Completed Cohort Fert.’ [2023] (42)(1) </w:t>
      </w:r>
      <w:r>
        <w:rPr>
          <w:rFonts w:ascii="Times New Roman" w:cs="Times New Roman" w:hAnsi="Times New Roman"/>
          <w:i/>
        </w:rPr>
        <w:t>PRPR</w:t>
      </w:r>
      <w:r>
        <w:rPr>
          <w:rFonts w:ascii="Times New Roman" w:cs="Times New Roman" w:hAnsi="Times New Roman"/>
        </w:rPr>
        <w:t xml:space="preserve"> 6 &lt;https://doi.org/10.1007/s11113-023-09765-3&gt; accessed 23 March 2026.</w:t>
      </w:r>
    </w:p>
  </w:footnote>
  <w:footnote w:id="3">
    <w:p w14:paraId="37C7F7A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
    <w:p w14:paraId="5DEF221C">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Ralph C Brashier, </w:t>
      </w:r>
      <w:r>
        <w:rPr>
          <w:rFonts w:ascii="Times New Roman" w:cs="Times New Roman" w:hAnsi="Times New Roman"/>
          <w:i/>
          <w:iCs/>
        </w:rPr>
        <w:t>Inheritance Law</w:t>
      </w:r>
      <w:r>
        <w:rPr>
          <w:rFonts w:ascii="Times New Roman" w:cs="Times New Roman" w:hAnsi="Times New Roman"/>
        </w:rPr>
        <w:t xml:space="preserve"> (Temple UP 2004) 168.</w:t>
      </w:r>
    </w:p>
  </w:footnote>
  <w:footnote w:id="5">
    <w:p w14:paraId="338BBBF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Olawanle Abiola, </w:t>
      </w:r>
      <w:r>
        <w:rPr>
          <w:rFonts w:ascii="Times New Roman" w:cs="Times New Roman" w:hAnsi="Times New Roman"/>
          <w:i/>
          <w:iCs/>
        </w:rPr>
        <w:t>Surrogacy Practice</w:t>
      </w:r>
      <w:r>
        <w:rPr>
          <w:rFonts w:ascii="Times New Roman" w:cs="Times New Roman" w:hAnsi="Times New Roman"/>
        </w:rPr>
        <w:t xml:space="preserve"> (Princeton &amp; Associates, 1st edn 2024) 33.</w:t>
      </w:r>
    </w:p>
  </w:footnote>
  <w:footnote w:id="6">
    <w:p w14:paraId="443CB6BE">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Ibid.</w:t>
      </w:r>
    </w:p>
  </w:footnote>
  <w:footnote w:id="7">
    <w:p w14:paraId="14400D5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8">
    <w:p w14:paraId="7D39443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9">
    <w:p w14:paraId="03E7A29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 S Adelakun, ‘Surrogacy in Nigeria’ (2018) 18 </w:t>
      </w:r>
      <w:r>
        <w:rPr>
          <w:rFonts w:ascii="Times New Roman" w:cs="Times New Roman" w:hAnsi="Times New Roman"/>
          <w:i/>
          <w:iCs/>
        </w:rPr>
        <w:t>AHRLJ</w:t>
      </w:r>
      <w:r>
        <w:rPr>
          <w:rFonts w:ascii="Times New Roman" w:cs="Times New Roman" w:hAnsi="Times New Roman"/>
        </w:rPr>
        <w:t xml:space="preserve"> 605-624.</w:t>
      </w:r>
    </w:p>
  </w:footnote>
  <w:footnote w:id="10">
    <w:p w14:paraId="032571A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1">
    <w:p w14:paraId="6AA34AB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Writing Group on behalf of the ESHRE Ethics Committee, Shenfield F and others, ‘Ethics of Surrogacy’ [2025] (40)(3) Hum Reprod 420-425 &lt;https://doi.org/10.1093/humrep/deaf006&gt; accessed 7 April 2026.</w:t>
      </w:r>
    </w:p>
  </w:footnote>
  <w:footnote w:id="12">
    <w:p w14:paraId="2776F8CF">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Ibrahim Abiodun Obadina, ‘Regulating Surrogacy in Nigeria’ (2026) </w:t>
      </w:r>
      <w:r>
        <w:rPr>
          <w:rFonts w:ascii="Times New Roman" w:cs="Times New Roman" w:hAnsi="Times New Roman"/>
          <w:i/>
          <w:iCs/>
        </w:rPr>
        <w:t>JAL</w:t>
      </w:r>
      <w:r>
        <w:rPr>
          <w:rFonts w:ascii="Times New Roman" w:cs="Times New Roman" w:hAnsi="Times New Roman"/>
        </w:rPr>
        <w:t xml:space="preserve"> 1-18 &lt;https://doi.org/10.1017/S0021855325100843&gt; accessed 7 April 2026.</w:t>
      </w:r>
    </w:p>
  </w:footnote>
  <w:footnote w:id="13">
    <w:p w14:paraId="29A10AB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4">
    <w:p w14:paraId="7424642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WHO</w:t>
      </w:r>
      <w:r>
        <w:rPr>
          <w:rFonts w:ascii="Times New Roman" w:cs="Times New Roman" w:hAnsi="Times New Roman"/>
        </w:rPr>
        <w:t>, ‘Infertility’ &lt;https://www.who.int/news-room/fact-sheets/detail/infertility&gt; accessed 3 April 2026.</w:t>
      </w:r>
    </w:p>
  </w:footnote>
  <w:footnote w:id="15">
    <w:p w14:paraId="387B018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6">
    <w:p w14:paraId="4E0D7D9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Some jurisdictions permit and regulate surrogacy and ART, while others restrict them, and still others remain silent.</w:t>
      </w:r>
    </w:p>
  </w:footnote>
  <w:footnote w:id="17">
    <w:p w14:paraId="16B47969">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BBC News</w:t>
      </w:r>
      <w:r>
        <w:rPr>
          <w:rFonts w:ascii="Times New Roman" w:cs="Times New Roman" w:hAnsi="Times New Roman"/>
        </w:rPr>
        <w:t>, ‘IVF and Single Women’ &lt;https://www.bbc.com/news/articles/c99relz9x4po&gt; accessed 23 March 2026.</w:t>
      </w:r>
    </w:p>
  </w:footnote>
  <w:footnote w:id="18">
    <w:p w14:paraId="32A2537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This dissertation was researched and written between 2025 and 2026. Accordingly, references to the legal position "as at the time of this research" denote the state of Nigerian law during that period. See Adelakun (n 9).</w:t>
      </w:r>
    </w:p>
  </w:footnote>
  <w:footnote w:id="19">
    <w:p w14:paraId="04926923">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Lagos State Ministry of Health, Assisted Reproductive Technology Policy Document and Practice Guidelines (Lagos State Government, 9 May 2019).</w:t>
      </w:r>
    </w:p>
  </w:footnote>
  <w:footnote w:id="20">
    <w:p w14:paraId="2B3C327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21">
    <w:p w14:paraId="617154D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2">
    <w:p w14:paraId="613EEEF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3">
    <w:p w14:paraId="220BB37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Ralph C Brashier (n 4).</w:t>
      </w:r>
    </w:p>
  </w:footnote>
  <w:footnote w:id="24">
    <w:p w14:paraId="06A448E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Adelakun (n 9).</w:t>
      </w:r>
    </w:p>
  </w:footnote>
  <w:footnote w:id="25">
    <w:p w14:paraId="45DEA9F3">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United States Department of State, ‘ART: US Citizenship Laws’&lt;https://travel.state.gov/content/travel/en/legal/travel-legal-considerations/us-citizenship-laws-policies/assisted-reproductive-technology.html&gt; accessed 7 April 2026.</w:t>
      </w:r>
    </w:p>
  </w:footnote>
  <w:footnote w:id="26">
    <w:p w14:paraId="711229C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CRC 1989, art 7(1).</w:t>
      </w:r>
    </w:p>
  </w:footnote>
  <w:footnote w:id="27">
    <w:p w14:paraId="2D2F512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28">
    <w:p w14:paraId="3B950F9E">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Mater semper certa est (Latin: ‘the mother is always certain’); Re C (a minor) (surrogacy) [1985] 2 FLR 846 (Fam Div); In re Baby M 537 A.2d 1227 (NJ 1988).</w:t>
      </w:r>
    </w:p>
  </w:footnote>
  <w:footnote w:id="29">
    <w:p w14:paraId="1DFED8FA">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Pater est quem nuptiae demonstrant (Latin: ‘the father is he whom the marriage indicates’); William Blackstone, </w:t>
      </w:r>
      <w:r>
        <w:rPr>
          <w:rFonts w:ascii="Times New Roman" w:cs="Times New Roman" w:hAnsi="Times New Roman"/>
          <w:i/>
          <w:iCs/>
        </w:rPr>
        <w:t>Commentaries, Book I</w:t>
      </w:r>
      <w:r>
        <w:rPr>
          <w:rFonts w:ascii="Times New Roman" w:cs="Times New Roman" w:hAnsi="Times New Roman"/>
        </w:rPr>
        <w:t xml:space="preserve"> (1765) ch 15; Michael H v Gerald D 491 US 110 (1989); Re G (children) [2006] UKHL 43.</w:t>
      </w:r>
    </w:p>
  </w:footnote>
  <w:footnote w:id="30">
    <w:p w14:paraId="11911881">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Diane Ehrensaft, </w:t>
      </w:r>
      <w:r>
        <w:rPr>
          <w:rFonts w:ascii="Times New Roman" w:cs="Times New Roman" w:hAnsi="Times New Roman"/>
          <w:i/>
          <w:iCs/>
        </w:rPr>
        <w:t>Mommies, Daddies, Donors, Surrogates</w:t>
      </w:r>
      <w:r>
        <w:rPr>
          <w:rFonts w:ascii="Times New Roman" w:cs="Times New Roman" w:hAnsi="Times New Roman"/>
        </w:rPr>
        <w:t xml:space="preserve"> (Guilford 2005).</w:t>
      </w:r>
    </w:p>
  </w:footnote>
  <w:footnote w:id="31">
    <w:p w14:paraId="1923E71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2">
    <w:p w14:paraId="54E59160">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Adelakun (n 9).</w:t>
      </w:r>
    </w:p>
  </w:footnote>
  <w:footnote w:id="33">
    <w:p w14:paraId="2792EC8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This includes the CFRN (CFRN) 1999 (as amended), CRA 2003, Evidence Act 2011, NHA 2014 and laws relating to birth registration and family relations.</w:t>
      </w:r>
    </w:p>
  </w:footnote>
  <w:footnote w:id="34">
    <w:p w14:paraId="18A9FC4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Ester Lazzari (n 2).</w:t>
      </w:r>
    </w:p>
  </w:footnote>
  <w:footnote w:id="35">
    <w:p w14:paraId="52E85EB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United States Department of State (n 25).</w:t>
      </w:r>
    </w:p>
  </w:footnote>
  <w:footnote w:id="36">
    <w:p w14:paraId="6EEADAE4">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In re Baby M (n 28); Re C (A Minor) (Wardship: Surrogacy) [1985]2FLR846; Re P (Surrogacy: Residence) [2008] EWFC 38.</w:t>
      </w:r>
    </w:p>
  </w:footnote>
  <w:footnote w:id="37">
    <w:p w14:paraId="6927CD0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8">
    <w:p w14:paraId="2C679B4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Adelakun (n 9).</w:t>
      </w:r>
    </w:p>
  </w:footnote>
  <w:footnote w:id="39">
    <w:p w14:paraId="1D25C95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0">
    <w:p w14:paraId="3854F520">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National Assembly of the Federal Republic of Nigeria, A Bill for an Act to Establish the Nigeria Surrogacy Regulatory Commission for the Monitoring and Supervision of Surrogacy Arrangements in Nigeria and for Related Matters 2024 (HB 1137).</w:t>
      </w:r>
    </w:p>
  </w:footnote>
  <w:footnote w:id="41">
    <w:p w14:paraId="6EB2645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2">
    <w:p w14:paraId="40558AFC">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O M Atoyebi and Jesutofunmi Idowu, ‘Analy. of the Nig. Surrogacy Bill 2024’ (</w:t>
      </w:r>
      <w:r>
        <w:rPr>
          <w:rFonts w:ascii="Times New Roman" w:cs="Times New Roman" w:hAnsi="Times New Roman"/>
          <w:i/>
          <w:iCs/>
        </w:rPr>
        <w:t>Omaplex Law Firm</w:t>
      </w:r>
      <w:r>
        <w:rPr>
          <w:rFonts w:ascii="Times New Roman" w:cs="Times New Roman" w:hAnsi="Times New Roman"/>
        </w:rPr>
        <w:t>, 9 December 2024) &lt;https://omaplex.com.ng/analysis-of-the-nigeria-surrogacy-regulatory-commission-bill-2024/&gt; accessed 27 April 2026.</w:t>
      </w:r>
    </w:p>
  </w:footnote>
  <w:footnote w:id="43">
    <w:p w14:paraId="2AAF7576">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Nigeria Surrogacy Regulatory Commission Bill (n 40).</w:t>
      </w:r>
    </w:p>
  </w:footnote>
  <w:footnote w:id="44">
    <w:p w14:paraId="711617C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5">
    <w:p w14:paraId="763BAAC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6">
    <w:p w14:paraId="2E0B8B1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7">
    <w:p w14:paraId="31F181DA">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See generally Nigeria Surrogacy Regulatory Commission Bill (n 40) and Nat. Assembly of the Fed. Repub. of Nig., A Bill for an Act to Establish the Nig. Human Fertilization and Embryology Regulatory Commission for the Regulation, Monitoring &amp; Supervision of Assisted Reproductive Technologies in Nigeria; and for Related Matters 2024 (HB 1538).</w:t>
      </w:r>
    </w:p>
  </w:footnote>
  <w:footnote w:id="48">
    <w:p w14:paraId="6D61FB48">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AB v Minister of Soc. Dev. [2016] ZACC43.</w:t>
      </w:r>
    </w:p>
  </w:footnote>
  <w:footnote w:id="49">
    <w:p w14:paraId="50C412F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0">
    <w:p w14:paraId="439623E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1">
    <w:p w14:paraId="258B880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2">
    <w:p w14:paraId="659F626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3">
    <w:p w14:paraId="7843512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4">
    <w:p w14:paraId="0BF827AD">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Surrogacy Bill 2024, ss 9-10.</w:t>
      </w:r>
    </w:p>
  </w:footnote>
  <w:footnote w:id="55">
    <w:p w14:paraId="40ACD90C">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AB v Minister of Soc. Dev. (n 48).</w:t>
      </w:r>
    </w:p>
  </w:footnote>
  <w:footnote w:id="56">
    <w:p w14:paraId="590B75E9">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Atoyebi and Jesutofunmi Idowu (n 42).</w:t>
      </w:r>
    </w:p>
  </w:footnote>
  <w:footnote w:id="57">
    <w:p w14:paraId="4201DBF6">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Mater semper certa est (Latin: ‘the mother is always certain’); Pater est quem nuptiae demonstrant (Latin: ‘the father is he whom the marriage indicates’).</w:t>
      </w:r>
    </w:p>
  </w:footnote>
  <w:footnote w:id="58">
    <w:p w14:paraId="216B20FE">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Faculty of Law, Godfrey Okoye University Enugu, </w:t>
      </w:r>
      <w:r>
        <w:rPr>
          <w:rFonts w:ascii="Times New Roman" w:cs="Times New Roman" w:hAnsi="Times New Roman"/>
          <w:i/>
          <w:iCs/>
        </w:rPr>
        <w:t>LL.B Legal Research Guidebook</w:t>
      </w:r>
      <w:r>
        <w:rPr>
          <w:rFonts w:ascii="Times New Roman" w:cs="Times New Roman" w:hAnsi="Times New Roman"/>
        </w:rPr>
        <w:t xml:space="preserve"> (Godfrey Okoye University 2023).</w:t>
      </w:r>
    </w:p>
  </w:footnote>
  <w:footnote w:id="59">
    <w:p w14:paraId="54569AE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Uzoma Ihugba, </w:t>
      </w:r>
      <w:r>
        <w:rPr>
          <w:rFonts w:ascii="Times New Roman" w:cs="Times New Roman" w:hAnsi="Times New Roman"/>
          <w:i/>
          <w:iCs/>
        </w:rPr>
        <w:t>Intro to Legal Research</w:t>
      </w:r>
      <w:r>
        <w:rPr>
          <w:rFonts w:ascii="Times New Roman" w:cs="Times New Roman" w:hAnsi="Times New Roman"/>
        </w:rPr>
        <w:t xml:space="preserve"> (Prince and Princess Publishers 2020).</w:t>
      </w:r>
    </w:p>
  </w:footnote>
  <w:footnote w:id="60">
    <w:p w14:paraId="47D6AD4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Faculty of Law GOUNI (n 58).</w:t>
      </w:r>
    </w:p>
  </w:footnote>
  <w:footnote w:id="61">
    <w:p w14:paraId="05FBDA7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62">
    <w:p w14:paraId="10A9CA87">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Such as interviews, questionnaires, or case studies with fertility clinics, surrogate mothers, intended parents, or government agencies.</w:t>
      </w:r>
    </w:p>
  </w:footnote>
  <w:footnote w:id="63">
    <w:p w14:paraId="67ABA3A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Adelakun (n 9).</w:t>
      </w:r>
    </w:p>
  </w:footnote>
  <w:footnote w:id="64">
    <w:p w14:paraId="4979332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65">
    <w:p w14:paraId="52EDFE61">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 Horsey, ‘Future of Surrogacy’ [2024] (48)(5) </w:t>
      </w:r>
      <w:r>
        <w:rPr>
          <w:rFonts w:ascii="Times New Roman" w:cs="Times New Roman" w:hAnsi="Times New Roman"/>
          <w:i/>
          <w:iCs/>
        </w:rPr>
        <w:t>RBMO</w:t>
      </w:r>
      <w:r>
        <w:rPr>
          <w:rFonts w:ascii="Times New Roman" w:cs="Times New Roman" w:hAnsi="Times New Roman"/>
        </w:rPr>
        <w:t xml:space="preserve"> 103764 &lt;https://doi.org/10.1016/j.rbmo.2023.103764&gt; accessed 19 April 2026.</w:t>
      </w:r>
    </w:p>
  </w:footnote>
  <w:footnote w:id="66">
    <w:p w14:paraId="0DB5A6E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Shenfield F and others (n 11).</w:t>
      </w:r>
    </w:p>
  </w:footnote>
  <w:footnote w:id="67">
    <w:p w14:paraId="42B361C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D Lima, ‘Leg. Parenthood in Surrogacy’ [2024] 46(2) </w:t>
      </w:r>
      <w:r>
        <w:rPr>
          <w:rFonts w:ascii="Times New Roman" w:cs="Times New Roman" w:hAnsi="Times New Roman"/>
          <w:i/>
          <w:iCs/>
        </w:rPr>
        <w:t>JSWFL</w:t>
      </w:r>
      <w:r>
        <w:rPr>
          <w:rFonts w:ascii="Times New Roman" w:cs="Times New Roman" w:hAnsi="Times New Roman"/>
        </w:rPr>
        <w:t xml:space="preserve"> 245 &lt;https://doi.org/10.1080/09649069.2024.2344935&gt; accessed 19 April 2026.</w:t>
      </w:r>
    </w:p>
  </w:footnote>
  <w:footnote w:id="68">
    <w:p w14:paraId="3FA01F3B">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 G Tesfaye, ‘What Makes a Parent?’ [2022] 36(1) </w:t>
      </w:r>
      <w:r>
        <w:rPr>
          <w:rFonts w:ascii="Times New Roman" w:cs="Times New Roman" w:hAnsi="Times New Roman"/>
          <w:i/>
          <w:iCs/>
        </w:rPr>
        <w:t>IJLPF</w:t>
      </w:r>
      <w:r>
        <w:rPr>
          <w:rFonts w:ascii="Times New Roman" w:cs="Times New Roman" w:hAnsi="Times New Roman"/>
        </w:rPr>
        <w:t xml:space="preserve"> ebac010 &lt;https://doi.org/10.1093/lawfam/ebac010&gt; accessed 19 April 2026.</w:t>
      </w:r>
    </w:p>
  </w:footnote>
  <w:footnote w:id="69">
    <w:p w14:paraId="1042FC9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 Tryfonidou, ‘Cross-Border Recognition of Parenthood’ [2024] 46(2) </w:t>
      </w:r>
      <w:r>
        <w:rPr>
          <w:rFonts w:ascii="Times New Roman" w:cs="Times New Roman" w:hAnsi="Times New Roman"/>
          <w:i/>
          <w:iCs/>
        </w:rPr>
        <w:t>JSWFL</w:t>
      </w:r>
      <w:r>
        <w:rPr>
          <w:rFonts w:ascii="Times New Roman" w:cs="Times New Roman" w:hAnsi="Times New Roman"/>
        </w:rPr>
        <w:t xml:space="preserve"> 267 &lt;https://doi.org/10.1080/09649069.2024.2344936&gt; accessed 19 April 2026.</w:t>
      </w:r>
    </w:p>
  </w:footnote>
  <w:footnote w:id="70">
    <w:p w14:paraId="762EF3F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 O’Callaghan, ‘Surrogate-Born Children’s Access to Origins’ [2021] 35(1) </w:t>
      </w:r>
      <w:r>
        <w:rPr>
          <w:rFonts w:ascii="Times New Roman" w:cs="Times New Roman" w:hAnsi="Times New Roman"/>
          <w:i/>
          <w:iCs/>
        </w:rPr>
        <w:t>IJLPF</w:t>
      </w:r>
      <w:r>
        <w:rPr>
          <w:rFonts w:ascii="Times New Roman" w:cs="Times New Roman" w:hAnsi="Times New Roman"/>
        </w:rPr>
        <w:t xml:space="preserve"> ebab009 &lt;https://doi.org/10.1093/lawfam/ebab009&gt; accessed 19 April 2026.</w:t>
      </w:r>
    </w:p>
  </w:footnote>
  <w:footnote w:id="71">
    <w:p w14:paraId="4D1412AA">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Such as inheritance, maintenance and custody rights.</w:t>
      </w:r>
    </w:p>
  </w:footnote>
  <w:footnote w:id="72">
    <w:p w14:paraId="7CE37F3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 Margaria, ‘Registering Births’ [2024] 46(2) </w:t>
      </w:r>
      <w:r>
        <w:rPr>
          <w:rFonts w:ascii="Times New Roman" w:cs="Times New Roman" w:hAnsi="Times New Roman"/>
          <w:i/>
          <w:iCs/>
        </w:rPr>
        <w:t>JSWFL</w:t>
      </w:r>
      <w:r>
        <w:rPr>
          <w:rFonts w:ascii="Times New Roman" w:cs="Times New Roman" w:hAnsi="Times New Roman"/>
        </w:rPr>
        <w:t xml:space="preserve"> 226 &lt;https://doi.org/10.1080/09649069.2024.2344934&gt; accessed 19 April 2026.</w:t>
      </w:r>
    </w:p>
  </w:footnote>
  <w:footnote w:id="73">
    <w:p w14:paraId="75E8FD56">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B N Ezenwa and others, ‘Growing Trend of Surrogacy in Nig.’ [2024] 65(5) </w:t>
      </w:r>
      <w:r>
        <w:rPr>
          <w:rFonts w:ascii="Times New Roman" w:cs="Times New Roman" w:hAnsi="Times New Roman"/>
          <w:i/>
          <w:iCs/>
        </w:rPr>
        <w:t>NMJ</w:t>
      </w:r>
      <w:r>
        <w:rPr>
          <w:rFonts w:ascii="Times New Roman" w:cs="Times New Roman" w:hAnsi="Times New Roman"/>
        </w:rPr>
        <w:t xml:space="preserve"> 792 &lt;https://doi.org/10.60787/nmj.v65i5.515&gt; accessed 19 April 2026.</w:t>
      </w:r>
    </w:p>
  </w:footnote>
  <w:footnote w:id="74">
    <w:p w14:paraId="5DF89423">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75">
    <w:p w14:paraId="6F3C420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 Kneebone and others, ‘Improving Access to Surrogacy in Australia’ [2024] 38(1) </w:t>
      </w:r>
      <w:r>
        <w:rPr>
          <w:rFonts w:ascii="Times New Roman" w:cs="Times New Roman" w:hAnsi="Times New Roman"/>
          <w:i/>
          <w:iCs/>
        </w:rPr>
        <w:t>IJLPF</w:t>
      </w:r>
      <w:r>
        <w:rPr>
          <w:rFonts w:ascii="Times New Roman" w:cs="Times New Roman" w:hAnsi="Times New Roman"/>
        </w:rPr>
        <w:t xml:space="preserve"> ebae009 &lt;https://doi.org/10.1093/lawfam/ebae009&gt; accessed 19 April 2026.</w:t>
      </w:r>
    </w:p>
  </w:footnote>
  <w:footnote w:id="76">
    <w:p w14:paraId="355410BB">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R Akangah and others, ‘Surrogacy in Ghana’ (2025) 22 </w:t>
      </w:r>
      <w:r>
        <w:rPr>
          <w:rFonts w:ascii="Times New Roman" w:cs="Times New Roman" w:hAnsi="Times New Roman"/>
          <w:i/>
          <w:iCs/>
        </w:rPr>
        <w:t>RH</w:t>
      </w:r>
      <w:r>
        <w:rPr>
          <w:rFonts w:ascii="Times New Roman" w:cs="Times New Roman" w:hAnsi="Times New Roman"/>
        </w:rPr>
        <w:t xml:space="preserve"> art 181 &lt;https://doi.org/10.1186/s12978-025-02007-z&gt; accessed 19 April 2026.</w:t>
      </w:r>
    </w:p>
  </w:footnote>
  <w:footnote w:id="77">
    <w:p w14:paraId="6C83B4F2">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 Marinelli and others, ‘Cross-Border Surrogacy’ [2024] 300 EJOGRB 41 &lt;https://doi.org/10.1016/j.ejogrb.2024.06.030&gt; accessed 19 April 2026.</w:t>
      </w:r>
    </w:p>
  </w:footnote>
  <w:footnote w:id="78">
    <w:p w14:paraId="47B24D9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79">
    <w:p w14:paraId="5D56AA1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80">
    <w:p w14:paraId="1DCEB056">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 Sosson and G Willems, ‘Parentage in Traditional Families’ in J Sosson, G Willems and G Motte (eds),</w:t>
      </w:r>
      <w:r>
        <w:rPr>
          <w:rFonts w:ascii="Times New Roman" w:cs="Times New Roman" w:hAnsi="Times New Roman"/>
          <w:i/>
          <w:iCs/>
        </w:rPr>
        <w:t>Adults and Children in Postmodern Soc.</w:t>
      </w:r>
      <w:r>
        <w:rPr>
          <w:rFonts w:ascii="Times New Roman" w:cs="Times New Roman" w:hAnsi="Times New Roman"/>
        </w:rPr>
        <w:t xml:space="preserve"> (Intersentia 2019) 725–758.</w:t>
      </w:r>
    </w:p>
  </w:footnote>
  <w:footnote w:id="81">
    <w:p w14:paraId="418B930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82">
    <w:p w14:paraId="5EFE33C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Ralph C Brashier (n 4).</w:t>
      </w:r>
    </w:p>
  </w:footnote>
  <w:footnote w:id="83">
    <w:p w14:paraId="643503AB">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Sosson and Willems (n 80).</w:t>
      </w:r>
    </w:p>
  </w:footnote>
  <w:footnote w:id="84">
    <w:p w14:paraId="0F78FE4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Mater semper certa est(n 28).</w:t>
      </w:r>
    </w:p>
  </w:footnote>
  <w:footnote w:id="85">
    <w:p w14:paraId="2266C27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Pater est quem nuptiae demonstrant(n 29).</w:t>
      </w:r>
    </w:p>
  </w:footnote>
  <w:footnote w:id="86">
    <w:p w14:paraId="71DFE7A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Adelakun (n 9).</w:t>
      </w:r>
    </w:p>
  </w:footnote>
  <w:footnote w:id="87">
    <w:p w14:paraId="71A756C3">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Pikee Saxena and others, ‘Surrogacy: Ethical and Legal Issues’ (2012) 37(4) IJCM 211 &lt;https://doi.org/10.4103/0970-0218.103466&gt; accessed 23 February 2026.</w:t>
      </w:r>
    </w:p>
  </w:footnote>
  <w:footnote w:id="88">
    <w:p w14:paraId="35CC29F4">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 genetic mother refers to the woman whose egg provides the genetic material for the child. She might or might not also bear or nurture the child.</w:t>
      </w:r>
    </w:p>
  </w:footnote>
  <w:footnote w:id="89">
    <w:p w14:paraId="42E628BC">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 gestational mother is the individual who bears and delivers the baby. In gestational surrogacy, there is no genetic connection between her and the child.</w:t>
      </w:r>
    </w:p>
  </w:footnote>
  <w:footnote w:id="90">
    <w:p w14:paraId="4F5B1777">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 prospective social mother is a woman who plans to take on the parental responsibilities and nurture the child following birth, regardless of her genetic or gestational link to the child.</w:t>
      </w:r>
    </w:p>
  </w:footnote>
  <w:footnote w:id="91">
    <w:p w14:paraId="7A48782F">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 legal mother is the individual acknowledged by law as the mother of the child, possessing the corresponding legal rights and obligations. Depending on the relevant legal context, she could be recognised as the genetic, gestational, or intended mother.</w:t>
      </w:r>
    </w:p>
  </w:footnote>
  <w:footnote w:id="92">
    <w:p w14:paraId="40826AA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Pikee Saxena (n 87).</w:t>
      </w:r>
    </w:p>
  </w:footnote>
  <w:footnote w:id="93">
    <w:p w14:paraId="06B8B04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94">
    <w:p w14:paraId="292E4EE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Ester Lazzari (n 2).</w:t>
      </w:r>
    </w:p>
  </w:footnote>
  <w:footnote w:id="95">
    <w:p w14:paraId="477BA0A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Evidence Act 2011, s 165: In cases where a child is born while the mother is still in a valid marriage with a man, or within 280 days following the end of that marriage while she remains single, it will be considered definitive evidence that the child is the legitimate offspring of that man, unless it can be demonstrated that the married couple did not have any opportunity to be together during the time the child could have been conceived.</w:t>
      </w:r>
    </w:p>
  </w:footnote>
  <w:footnote w:id="96">
    <w:p w14:paraId="7A98813C">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MCA, Cap M7, LFN 2004, s71; CRA 2003, s 1.</w:t>
      </w:r>
    </w:p>
  </w:footnote>
  <w:footnote w:id="97">
    <w:p w14:paraId="5E09912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Evidence Act (n 95).</w:t>
      </w:r>
    </w:p>
  </w:footnote>
  <w:footnote w:id="98">
    <w:p w14:paraId="5F1875DE">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MCA, Cap M7, LFN 2004, s 71.</w:t>
      </w:r>
    </w:p>
  </w:footnote>
  <w:footnote w:id="99">
    <w:p w14:paraId="05654EC2">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CRA 2003, s 1.</w:t>
      </w:r>
    </w:p>
  </w:footnote>
  <w:footnote w:id="100">
    <w:p w14:paraId="4B472E44">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NHA 2014, s 50(1) (a)-(c); O S Adelakun (n 9).</w:t>
      </w:r>
    </w:p>
  </w:footnote>
  <w:footnote w:id="101">
    <w:p w14:paraId="6C9317C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02">
    <w:p w14:paraId="45D6E807">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CFRN 1999 (as amended); CRA 2003; Evidence Act 2011; MCA, Cap M7 LFN 2004; NHA 2014 and any other valid enactment.</w:t>
      </w:r>
    </w:p>
  </w:footnote>
  <w:footnote w:id="103">
    <w:p w14:paraId="5909123D">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Abiade (n 5).</w:t>
      </w:r>
    </w:p>
  </w:footnote>
  <w:footnote w:id="104">
    <w:p w14:paraId="2E0549B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Human Fertilisation and Embryology Act 2008, s 33.</w:t>
      </w:r>
    </w:p>
  </w:footnote>
  <w:footnote w:id="105">
    <w:p w14:paraId="249F753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Human Fertilisation and Embryology Act 2008, ss 35-47.</w:t>
      </w:r>
    </w:p>
  </w:footnote>
  <w:footnote w:id="106">
    <w:p w14:paraId="4D9A37E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07">
    <w:p w14:paraId="11A0A4C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19 Cal. Rptr. 2d 494, 5 Cal. 4th 84, 851 P.2d 776 (1993).</w:t>
      </w:r>
    </w:p>
  </w:footnote>
  <w:footnote w:id="108">
    <w:p w14:paraId="3E689CD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09">
    <w:p w14:paraId="3B03FC7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In re Baby M(n 28).</w:t>
      </w:r>
    </w:p>
  </w:footnote>
  <w:footnote w:id="110">
    <w:p w14:paraId="4767541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11">
    <w:p w14:paraId="324898B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12">
    <w:p w14:paraId="6004394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Anozia v Patricia Nnani&amp;Anor [2015] NGCA 15; Imoru v Kadiri (1991) 4 NWLR (Pt 185) 303.</w:t>
      </w:r>
    </w:p>
  </w:footnote>
  <w:footnote w:id="113">
    <w:p w14:paraId="7ACDB3C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Anozia v Patricia Nnani&amp;Anor (n 112).</w:t>
      </w:r>
    </w:p>
  </w:footnote>
  <w:footnote w:id="114">
    <w:p w14:paraId="48E2C2E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15">
    <w:p w14:paraId="61021F4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16">
    <w:p w14:paraId="09813B6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Imoru v Kadiri (n 112).</w:t>
      </w:r>
    </w:p>
  </w:footnote>
  <w:footnote w:id="117">
    <w:p w14:paraId="390EC28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Williams v Williams [1987] 2NWLR(Pt 54)66SC.</w:t>
      </w:r>
    </w:p>
  </w:footnote>
  <w:footnote w:id="118">
    <w:p w14:paraId="2ABDB79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Anozia v Patricia Nnani&amp;Anor(n 112); Imoru v Kadiri (n 112); Williams v Williams (n 117).</w:t>
      </w:r>
    </w:p>
  </w:footnote>
  <w:footnote w:id="119">
    <w:p w14:paraId="384C467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20">
    <w:p w14:paraId="6D5C3AC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21">
    <w:p w14:paraId="4D87508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22">
    <w:p w14:paraId="7925A3C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Sosson J and Willems G (n 80).</w:t>
      </w:r>
    </w:p>
  </w:footnote>
  <w:footnote w:id="123">
    <w:p w14:paraId="407B222D">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Births and Deaths Registration Act, Cap B9 LFN 2004, s 8; MCA, Cap M7 LFN 2004, s 71.</w:t>
      </w:r>
    </w:p>
  </w:footnote>
  <w:footnote w:id="124">
    <w:p w14:paraId="46413114">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CFRN 1999 (as amended), ss 25-27; Administration of Estates Laws (various states); see also R Probert, </w:t>
      </w:r>
      <w:r>
        <w:rPr>
          <w:rFonts w:ascii="Times New Roman" w:cs="Times New Roman" w:hAnsi="Times New Roman"/>
          <w:i/>
          <w:iCs/>
        </w:rPr>
        <w:t>Families, Law and Society</w:t>
      </w:r>
      <w:r>
        <w:rPr>
          <w:rFonts w:ascii="Times New Roman" w:cs="Times New Roman" w:hAnsi="Times New Roman"/>
        </w:rPr>
        <w:t xml:space="preserve"> (Sweet &amp; Maxwell 2015) 112.</w:t>
      </w:r>
    </w:p>
  </w:footnote>
  <w:footnote w:id="125">
    <w:p w14:paraId="3A3A9C7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Child’s Rights Act 2003, ss 1, 5, 8 and 4.</w:t>
      </w:r>
    </w:p>
  </w:footnote>
  <w:footnote w:id="126">
    <w:p w14:paraId="7D80794B">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ibid, s 5.</w:t>
      </w:r>
    </w:p>
  </w:footnote>
  <w:footnote w:id="127">
    <w:p w14:paraId="15162A65">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ibid, s 8.</w:t>
      </w:r>
    </w:p>
  </w:footnote>
  <w:footnote w:id="128">
    <w:p w14:paraId="28A9B90B">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ibid, s 4.</w:t>
      </w:r>
    </w:p>
  </w:footnote>
  <w:footnote w:id="129">
    <w:p w14:paraId="60F04A51">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Births and Deaths Registration Act, Cap B9, LFN 2004, ss 7-12.</w:t>
      </w:r>
    </w:p>
  </w:footnote>
  <w:footnote w:id="130">
    <w:p w14:paraId="5858078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9.</w:t>
      </w:r>
    </w:p>
  </w:footnote>
  <w:footnote w:id="131">
    <w:p w14:paraId="67D7737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Adelakun (n 9).</w:t>
      </w:r>
    </w:p>
  </w:footnote>
  <w:footnote w:id="132">
    <w:p w14:paraId="275D039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Mater semper certa est (n 28).</w:t>
      </w:r>
    </w:p>
  </w:footnote>
  <w:footnote w:id="133">
    <w:p w14:paraId="70CD85D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34">
    <w:p w14:paraId="5D969927">
      <w:pPr>
        <w:pStyle w:val="style29"/>
        <w:snapToGrid w:val="false"/>
        <w:jc w:val="both"/>
        <w:rPr>
          <w:rFonts w:ascii="Times New Roman" w:cs="Times New Roman" w:hAnsi="Times New Roman"/>
          <w:i/>
          <w:iCs/>
          <w:lang w:val="en-US"/>
        </w:rPr>
      </w:pPr>
      <w:r>
        <w:rPr>
          <w:rStyle w:val="style38"/>
          <w:rFonts w:ascii="Times New Roman" w:cs="Times New Roman" w:hAnsi="Times New Roman"/>
        </w:rPr>
        <w:footnoteRef/>
      </w:r>
      <w:r>
        <w:rPr>
          <w:rFonts w:ascii="Times New Roman" w:cs="Times New Roman" w:hAnsi="Times New Roman"/>
        </w:rPr>
        <w:t xml:space="preserve"> Human Fertilisation and Embryology Act 2008 (UK), s 33; see also E Jackson, </w:t>
      </w:r>
      <w:r>
        <w:rPr>
          <w:rFonts w:ascii="Times New Roman" w:cs="Times New Roman" w:hAnsi="Times New Roman"/>
          <w:i/>
          <w:iCs/>
        </w:rPr>
        <w:t>Medical Law</w:t>
      </w:r>
      <w:r>
        <w:rPr>
          <w:rFonts w:ascii="Times New Roman" w:cs="Times New Roman" w:hAnsi="Times New Roman"/>
        </w:rPr>
        <w:t>: Text,Cases, and Materials (OUP 2016) 890.</w:t>
      </w:r>
    </w:p>
  </w:footnote>
  <w:footnote w:id="135">
    <w:p w14:paraId="6433691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136">
    <w:p w14:paraId="76EFEC47">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International Committee for Monitoring ART and the </w:t>
      </w:r>
      <w:r>
        <w:rPr>
          <w:rFonts w:ascii="Times New Roman" w:cs="Times New Roman" w:hAnsi="Times New Roman"/>
          <w:i/>
          <w:iCs/>
        </w:rPr>
        <w:t>WHO</w:t>
      </w:r>
      <w:r>
        <w:rPr>
          <w:rFonts w:ascii="Times New Roman" w:cs="Times New Roman" w:hAnsi="Times New Roman"/>
        </w:rPr>
        <w:t xml:space="preserve">, ‘International Committee for Monitoring ART (ICMART) and the </w:t>
      </w:r>
      <w:r>
        <w:rPr>
          <w:rFonts w:ascii="Times New Roman" w:cs="Times New Roman" w:hAnsi="Times New Roman"/>
          <w:i/>
          <w:iCs/>
        </w:rPr>
        <w:t>WHO</w:t>
      </w:r>
      <w:r>
        <w:rPr>
          <w:rFonts w:ascii="Times New Roman" w:cs="Times New Roman" w:hAnsi="Times New Roman"/>
        </w:rPr>
        <w:t xml:space="preserve"> Revised Glossary of ART Terminology, 2009’ (2009) 92(5) </w:t>
      </w:r>
      <w:r>
        <w:rPr>
          <w:rFonts w:ascii="Times New Roman" w:cs="Times New Roman" w:hAnsi="Times New Roman"/>
          <w:i/>
          <w:iCs/>
        </w:rPr>
        <w:t>F&amp;S</w:t>
      </w:r>
      <w:r>
        <w:rPr>
          <w:rFonts w:ascii="Times New Roman" w:cs="Times New Roman" w:hAnsi="Times New Roman"/>
        </w:rPr>
        <w:t xml:space="preserve"> 1520, 1521.</w:t>
      </w:r>
    </w:p>
  </w:footnote>
  <w:footnote w:id="137">
    <w:p w14:paraId="36AE538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Ralph C Brashier (n 4).</w:t>
      </w:r>
    </w:p>
  </w:footnote>
  <w:footnote w:id="138">
    <w:p w14:paraId="18B1A3E3">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WHO</w:t>
      </w:r>
      <w:r>
        <w:rPr>
          <w:rFonts w:ascii="Times New Roman" w:cs="Times New Roman" w:hAnsi="Times New Roman"/>
        </w:rPr>
        <w:t xml:space="preserve">, ‘1 in 6 people globally affected by infertility: </w:t>
      </w:r>
      <w:r>
        <w:rPr>
          <w:rFonts w:ascii="Times New Roman" w:cs="Times New Roman" w:hAnsi="Times New Roman"/>
          <w:i/>
          <w:iCs/>
        </w:rPr>
        <w:t>WHO</w:t>
      </w:r>
      <w:r>
        <w:rPr>
          <w:rFonts w:ascii="Times New Roman" w:cs="Times New Roman" w:hAnsi="Times New Roman"/>
        </w:rPr>
        <w:t>’ &lt;https://www.who.int/news/item/04-04-2023-1-in-6-people-globally-affected-by-infertility&gt; accessed 3 April 2026.</w:t>
      </w:r>
    </w:p>
  </w:footnote>
  <w:footnote w:id="139">
    <w:p w14:paraId="1C928C6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Simisola O Akintola and Olohikhuae O Egbokhare, ‘Parenthood and ART in Nigeria’ (2018) 3(2) IJME 107, 107–108.</w:t>
      </w:r>
    </w:p>
  </w:footnote>
  <w:footnote w:id="140">
    <w:p w14:paraId="67A351F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41">
    <w:p w14:paraId="67B4C5D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142">
    <w:p w14:paraId="5C7E5389">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O Enabulele and JE Enabulele, ‘Nigeria’s NHA’ [2016](57) (5) </w:t>
      </w:r>
      <w:r>
        <w:rPr>
          <w:rFonts w:ascii="Times New Roman" w:cs="Times New Roman" w:hAnsi="Times New Roman"/>
          <w:i/>
          <w:iCs/>
        </w:rPr>
        <w:t>NMJ</w:t>
      </w:r>
      <w:r>
        <w:rPr>
          <w:rFonts w:ascii="Times New Roman" w:cs="Times New Roman" w:hAnsi="Times New Roman"/>
        </w:rPr>
        <w:t xml:space="preserve"> 260-265.</w:t>
      </w:r>
    </w:p>
  </w:footnote>
  <w:footnote w:id="143">
    <w:p w14:paraId="7192C78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Akintola and Egbokhare (n 139).</w:t>
      </w:r>
    </w:p>
  </w:footnote>
  <w:footnote w:id="144">
    <w:p w14:paraId="05C7B920">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Model United Nations International School of The Hague, Research Report: Global Regulations on Surrogacy, Forum: </w:t>
      </w:r>
      <w:r>
        <w:rPr>
          <w:rFonts w:ascii="Times New Roman" w:cs="Times New Roman" w:hAnsi="Times New Roman"/>
          <w:i/>
          <w:iCs/>
        </w:rPr>
        <w:t>WHO</w:t>
      </w:r>
      <w:r>
        <w:rPr>
          <w:rFonts w:ascii="Times New Roman" w:cs="Times New Roman" w:hAnsi="Times New Roman"/>
        </w:rPr>
        <w:t>, XXXIII Annual Session 2023, prepared by Maria Clara Ignat Bernabeu (Deputy President) (2023) 2.</w:t>
      </w:r>
    </w:p>
  </w:footnote>
  <w:footnote w:id="145">
    <w:p w14:paraId="49021E5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Dafni Lima (n 67).</w:t>
      </w:r>
    </w:p>
  </w:footnote>
  <w:footnote w:id="146">
    <w:p w14:paraId="588FB1A1">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Yinka Olomojobi, </w:t>
      </w:r>
      <w:r>
        <w:rPr>
          <w:rFonts w:ascii="Times New Roman" w:cs="Times New Roman" w:hAnsi="Times New Roman"/>
          <w:i/>
          <w:iCs/>
        </w:rPr>
        <w:t>Medical and Health Law</w:t>
      </w:r>
      <w:r>
        <w:rPr>
          <w:rFonts w:ascii="Times New Roman" w:cs="Times New Roman" w:hAnsi="Times New Roman"/>
        </w:rPr>
        <w:t xml:space="preserve"> (Princeton &amp; Associates Publishing Co Ltd 2019).</w:t>
      </w:r>
    </w:p>
  </w:footnote>
  <w:footnote w:id="147">
    <w:p w14:paraId="756B764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48">
    <w:p w14:paraId="562C12C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49">
    <w:p w14:paraId="75108EF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150">
    <w:p w14:paraId="05ACD25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51">
    <w:p w14:paraId="29456CF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52">
    <w:p w14:paraId="766D90C3">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PO Fiebai and G Kinikanwo, ‘Regulation of ART in Nig.’ [2019](4) (1) </w:t>
      </w:r>
      <w:r>
        <w:rPr>
          <w:rFonts w:ascii="Times New Roman" w:cs="Times New Roman" w:hAnsi="Times New Roman"/>
          <w:i/>
        </w:rPr>
        <w:t>AJIAC</w:t>
      </w:r>
      <w:r>
        <w:rPr>
          <w:rFonts w:ascii="Times New Roman" w:cs="Times New Roman" w:hAnsi="Times New Roman"/>
        </w:rPr>
        <w:t xml:space="preserve"> 1-2.</w:t>
      </w:r>
    </w:p>
  </w:footnote>
  <w:footnote w:id="153">
    <w:p w14:paraId="2EC04C2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For example, Lagos ART guidelines.</w:t>
      </w:r>
    </w:p>
  </w:footnote>
  <w:footnote w:id="154">
    <w:p w14:paraId="5D487A9A">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G David Adamson and others, ‘Global Fertility Care with ART’ (2023) 120(3) </w:t>
      </w:r>
      <w:r>
        <w:rPr>
          <w:rFonts w:ascii="Times New Roman" w:cs="Times New Roman" w:hAnsi="Times New Roman"/>
          <w:i/>
          <w:iCs/>
        </w:rPr>
        <w:t>F&amp;S</w:t>
      </w:r>
      <w:r>
        <w:rPr>
          <w:rFonts w:ascii="Times New Roman" w:cs="Times New Roman" w:hAnsi="Times New Roman"/>
        </w:rPr>
        <w:t xml:space="preserve"> 473–482&lt;https://doi.org/10.1016/j.fertnstert.2023.01.013&gt; accessed 27 April 2026.</w:t>
      </w:r>
    </w:p>
  </w:footnote>
  <w:footnote w:id="155">
    <w:p w14:paraId="1234E47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This includes the CFRN 1999 (as amended), CRA 2003, Evidence Act 2011, NHA 2014, and laws relating to birth registration and family relations, including relevant policies and institutions.</w:t>
      </w:r>
    </w:p>
  </w:footnote>
  <w:footnote w:id="156">
    <w:p w14:paraId="73823B0C">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B Oladunjoye, ‘Surrogacy: Absence of laws spurs unethical practices in Nigeria’ </w:t>
      </w:r>
      <w:r>
        <w:rPr>
          <w:rFonts w:ascii="Times New Roman" w:cs="Times New Roman" w:hAnsi="Times New Roman"/>
          <w:i/>
          <w:iCs/>
        </w:rPr>
        <w:t>Premium Times</w:t>
      </w:r>
      <w:r>
        <w:rPr>
          <w:rFonts w:ascii="Times New Roman" w:cs="Times New Roman" w:hAnsi="Times New Roman"/>
        </w:rPr>
        <w:t xml:space="preserve"> [13 August 2023] &lt;https://www.premiumtimesng.com/news/615803-surrogacy-absence-of-laws-spurs-unethical-practices-in-nigeria-3.html?tztc=1&gt; accessed 25 April 2026.</w:t>
      </w:r>
    </w:p>
  </w:footnote>
  <w:footnote w:id="157">
    <w:p w14:paraId="2032F8E2">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 Umeh, ‘Lagos unveils guidelines to regulate ART practice’ &lt;https://www.nigeriahealthonline.com/2019/05/09/lagos-unveils-guidelines-to-regulate-art-practice.nho/&gt; accessed 3 April 2026.</w:t>
      </w:r>
    </w:p>
  </w:footnote>
  <w:footnote w:id="158">
    <w:p w14:paraId="5164046D">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Oladunjoye, ‘Surrogacy: Absence of Laws Spurs Unethical Practices in Nigeria’ (n 156).</w:t>
      </w:r>
    </w:p>
  </w:footnote>
  <w:footnote w:id="159">
    <w:p w14:paraId="6B888C9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60">
    <w:p w14:paraId="72AD0CE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61">
    <w:p w14:paraId="46CA162D">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OT Grace and others, ‘ART Regulation in Nigeria’ [2025](7) (2) IJLPSR 158 - 164.</w:t>
      </w:r>
    </w:p>
  </w:footnote>
  <w:footnote w:id="162">
    <w:p w14:paraId="72FEC7A2">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Abiade (n 5).</w:t>
      </w:r>
    </w:p>
  </w:footnote>
  <w:footnote w:id="163">
    <w:p w14:paraId="64F0C8D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5 Cal 4th 84, 851P2d776[1993]; In re Baby M (n 28).</w:t>
      </w:r>
    </w:p>
  </w:footnote>
  <w:footnote w:id="164">
    <w:p w14:paraId="1A1E0BE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65">
    <w:p w14:paraId="719635B8">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Sosson and Willems (n 80).</w:t>
      </w:r>
    </w:p>
  </w:footnote>
  <w:footnote w:id="166">
    <w:p w14:paraId="197C1FF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Human Fertilisation and Embryology Act 2008, Schedule 3.</w:t>
      </w:r>
    </w:p>
  </w:footnote>
  <w:footnote w:id="167">
    <w:p w14:paraId="1FFF4200">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and others (eds), </w:t>
      </w:r>
      <w:r>
        <w:rPr>
          <w:rFonts w:ascii="Times New Roman" w:cs="Times New Roman" w:hAnsi="Times New Roman"/>
          <w:i/>
          <w:iCs/>
        </w:rPr>
        <w:t>Research Handbook on Surrogacy</w:t>
      </w:r>
      <w:r>
        <w:rPr>
          <w:rFonts w:ascii="Times New Roman" w:cs="Times New Roman" w:hAnsi="Times New Roman"/>
        </w:rPr>
        <w:t xml:space="preserve"> (Edward Elgar 2024).</w:t>
      </w:r>
    </w:p>
  </w:footnote>
  <w:footnote w:id="168">
    <w:p w14:paraId="42AB63B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National Assembly of the Federal Republic of Nigeria, A Bill for an Act to Provide for a National Framework for the Regulation and Supervision of Reproductive Technology and Matters Connected Therewith 2016 (Senate Bill), s 2(b).</w:t>
      </w:r>
    </w:p>
  </w:footnote>
  <w:footnote w:id="169">
    <w:p w14:paraId="159E7A96">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Paul R Brezina and Yulian Zhao, ‘Ethical, Legal and Social Issues in ART’ (2012) 2012 OGI art ID 686253 &lt;https://doi.org/10.1155/2012/686253&gt; accessed 8 June 2026.</w:t>
      </w:r>
    </w:p>
  </w:footnote>
  <w:footnote w:id="170">
    <w:p w14:paraId="73A35FA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2(a).</w:t>
      </w:r>
    </w:p>
  </w:footnote>
  <w:footnote w:id="171">
    <w:p w14:paraId="6002A9B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172">
    <w:p w14:paraId="6992E40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(n 107).</w:t>
      </w:r>
    </w:p>
  </w:footnote>
  <w:footnote w:id="173">
    <w:p w14:paraId="30DC04F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74">
    <w:p w14:paraId="2FE06F3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175">
    <w:p w14:paraId="2A12CD90">
      <w:pPr>
        <w:pStyle w:val="style29"/>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Fiebai and Kinikanwo (n 152).</w:t>
      </w:r>
    </w:p>
  </w:footnote>
  <w:footnote w:id="176">
    <w:p w14:paraId="44985E9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77">
    <w:p w14:paraId="52C5F402">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Judith Daar and others, </w:t>
      </w:r>
      <w:r>
        <w:rPr>
          <w:rFonts w:ascii="Times New Roman" w:cs="Times New Roman" w:hAnsi="Times New Roman"/>
          <w:i/>
          <w:iCs/>
        </w:rPr>
        <w:t>Reproductive Technologies and the Law</w:t>
      </w:r>
      <w:r>
        <w:rPr>
          <w:rFonts w:ascii="Times New Roman" w:cs="Times New Roman" w:hAnsi="Times New Roman"/>
        </w:rPr>
        <w:t xml:space="preserve"> (3rd edn, Carolina Academic 2022).</w:t>
      </w:r>
    </w:p>
  </w:footnote>
  <w:footnote w:id="178">
    <w:p w14:paraId="107F488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79">
    <w:p w14:paraId="11AEA7D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Fiebai and Kinikanwo (n 152).</w:t>
      </w:r>
    </w:p>
  </w:footnote>
  <w:footnote w:id="180">
    <w:p w14:paraId="36909F0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81">
    <w:p w14:paraId="4ED92AFC">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Intl Comm. for Monitoring ART (ICMART) and </w:t>
      </w:r>
      <w:r>
        <w:rPr>
          <w:rFonts w:ascii="Times New Roman" w:cs="Times New Roman" w:hAnsi="Times New Roman"/>
          <w:i/>
          <w:iCs/>
        </w:rPr>
        <w:t>WHO</w:t>
      </w:r>
      <w:r>
        <w:rPr>
          <w:rFonts w:ascii="Times New Roman" w:cs="Times New Roman" w:hAnsi="Times New Roman"/>
        </w:rPr>
        <w:t xml:space="preserve">, ‘International ART Glossary 2017’ (2017) 108(3) </w:t>
      </w:r>
      <w:r>
        <w:rPr>
          <w:rFonts w:ascii="Times New Roman" w:cs="Times New Roman" w:hAnsi="Times New Roman"/>
          <w:i/>
          <w:iCs/>
        </w:rPr>
        <w:t>F&amp;S</w:t>
      </w:r>
      <w:r>
        <w:rPr>
          <w:rFonts w:ascii="Times New Roman" w:cs="Times New Roman" w:hAnsi="Times New Roman"/>
        </w:rPr>
        <w:t xml:space="preserve"> 393–406, 398 &lt;https://doi.org/10.1016/j.fertnstert.2017.06.005&gt; accessed 8 June 2026.</w:t>
      </w:r>
    </w:p>
  </w:footnote>
  <w:footnote w:id="182">
    <w:p w14:paraId="3786263D">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Calvert(n 107).</w:t>
      </w:r>
    </w:p>
  </w:footnote>
  <w:footnote w:id="183">
    <w:p w14:paraId="16945CC9">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E Jackson ( n 134) 923–926.</w:t>
      </w:r>
    </w:p>
  </w:footnote>
  <w:footnote w:id="184">
    <w:p w14:paraId="28503AC8">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(n 167) 18–21.</w:t>
      </w:r>
    </w:p>
  </w:footnote>
  <w:footnote w:id="185">
    <w:p w14:paraId="146675B2">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 Golombok, </w:t>
      </w:r>
      <w:r>
        <w:rPr>
          <w:rFonts w:ascii="Times New Roman" w:cs="Times New Roman" w:hAnsi="Times New Roman"/>
          <w:i/>
          <w:iCs/>
        </w:rPr>
        <w:t>Modern Families</w:t>
      </w:r>
      <w:r>
        <w:rPr>
          <w:rFonts w:ascii="Times New Roman" w:cs="Times New Roman" w:hAnsi="Times New Roman"/>
        </w:rPr>
        <w:t xml:space="preserve"> (CUP 2015) 24–27.</w:t>
      </w:r>
    </w:p>
  </w:footnote>
  <w:footnote w:id="186">
    <w:p w14:paraId="3EA66014">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Johnson v Calvert ( n 107); Dafni Lima (n 67).</w:t>
      </w:r>
    </w:p>
  </w:footnote>
  <w:footnote w:id="187">
    <w:p w14:paraId="3B030CFD">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Dafni Lima (n 67).</w:t>
      </w:r>
    </w:p>
  </w:footnote>
  <w:footnote w:id="188">
    <w:p w14:paraId="2E03009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Katarina Trimmings (n 167).</w:t>
      </w:r>
    </w:p>
  </w:footnote>
  <w:footnote w:id="189">
    <w:p w14:paraId="592404B7">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David J Amor and others, ‘Donors, Recipients and Genetic Information’ (2018) 15(1) </w:t>
      </w:r>
      <w:r>
        <w:rPr>
          <w:rFonts w:ascii="Times New Roman" w:cs="Times New Roman" w:hAnsi="Times New Roman"/>
          <w:i/>
          <w:iCs/>
        </w:rPr>
        <w:t>RH</w:t>
      </w:r>
      <w:r>
        <w:rPr>
          <w:rFonts w:ascii="Times New Roman" w:cs="Times New Roman" w:hAnsi="Times New Roman"/>
        </w:rPr>
        <w:t xml:space="preserve"> 26.</w:t>
      </w:r>
    </w:p>
  </w:footnote>
  <w:footnote w:id="190">
    <w:p w14:paraId="2AF86AF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91">
    <w:p w14:paraId="2938412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192">
    <w:p w14:paraId="26409E6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(n 107).</w:t>
      </w:r>
    </w:p>
  </w:footnote>
  <w:footnote w:id="193">
    <w:p w14:paraId="4774F10C">
      <w:pPr>
        <w:pStyle w:val="style29"/>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Anozia v Patricia Nnani&amp;Anor (n 112).</w:t>
      </w:r>
    </w:p>
  </w:footnote>
  <w:footnote w:id="194">
    <w:p w14:paraId="7DA858B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95">
    <w:p w14:paraId="29B96B7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196">
    <w:p w14:paraId="4A5F31E8">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Intl Comm. for Monitoring ART (n 181).</w:t>
      </w:r>
    </w:p>
  </w:footnote>
  <w:footnote w:id="197">
    <w:p w14:paraId="26A2DEE7">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Ralph C Brashier, Children and Assisted Reproductive Technology: Parentage and Property Issues in the Age of Genetics (ABA Publishing 2004) 41–44.</w:t>
      </w:r>
    </w:p>
  </w:footnote>
  <w:footnote w:id="198">
    <w:p w14:paraId="4273CC6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Dafni Lima (n 67).</w:t>
      </w:r>
    </w:p>
  </w:footnote>
  <w:footnote w:id="199">
    <w:p w14:paraId="79D78D53">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 Jackson ( n 134).</w:t>
      </w:r>
    </w:p>
  </w:footnote>
  <w:footnote w:id="200">
    <w:p w14:paraId="06596D55">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01">
    <w:p w14:paraId="3A4C9A8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Human Fertilisation and Embryology Act 2008, s 31ZA.</w:t>
      </w:r>
    </w:p>
  </w:footnote>
  <w:footnote w:id="202">
    <w:p w14:paraId="5D82AAED">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03">
    <w:p w14:paraId="310E1676">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Act on the Regulation of the Right to Know One’s Descent in the Case of Heterologous Use of Sperm 2017 (Germany).</w:t>
      </w:r>
    </w:p>
  </w:footnote>
  <w:footnote w:id="204">
    <w:p w14:paraId="56FB399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CRC 1989, arts 7 and 8.</w:t>
      </w:r>
    </w:p>
  </w:footnote>
  <w:footnote w:id="205">
    <w:p w14:paraId="686784C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(n 167).</w:t>
      </w:r>
    </w:p>
  </w:footnote>
  <w:footnote w:id="206">
    <w:p w14:paraId="40143D8E">
      <w:pPr>
        <w:pStyle w:val="style29"/>
        <w:jc w:val="both"/>
        <w:rPr>
          <w:rFonts w:ascii="Times New Roman" w:cs="Times New Roman" w:hAnsi="Times New Roman"/>
          <w:bCs/>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07">
    <w:p w14:paraId="3F96474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Intl Comm. for Monitoring ART (n 181) 397.</w:t>
      </w:r>
    </w:p>
  </w:footnote>
  <w:footnote w:id="208">
    <w:p w14:paraId="6D31D4F6">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 Jackson ( n 134).</w:t>
      </w:r>
    </w:p>
  </w:footnote>
  <w:footnote w:id="209">
    <w:p w14:paraId="37A14CDE">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G L Jones and others, ‘Reproduction in Life and Death: Should Cancer Patients with a Poor Prognosis Be Offered Fertility Preservation Interventions?’ (2023) 4(4) R&amp;F e230047.</w:t>
      </w:r>
    </w:p>
  </w:footnote>
  <w:footnote w:id="210">
    <w:p w14:paraId="1105420C">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Human Fertilisation and Embryology Act 1990 (as amended by the Human Fertilisation and Embryology Act 2008), ss 3-4A and sch 3.</w:t>
      </w:r>
    </w:p>
  </w:footnote>
  <w:footnote w:id="211">
    <w:p w14:paraId="66C9D97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12">
    <w:p w14:paraId="1AA43A1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Regulations Relating to Artificial Fertilisation of Persons 2012 (South Africa) GN R175 in GG 35099, regs 3-10.</w:t>
      </w:r>
    </w:p>
  </w:footnote>
  <w:footnote w:id="213">
    <w:p w14:paraId="38C74AB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NHA 2014.</w:t>
      </w:r>
    </w:p>
  </w:footnote>
  <w:footnote w:id="214">
    <w:p w14:paraId="7D89DDF9">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Fiebai and Kinikanwo (n 152); OT Grace and others, ‘ART Regulation in Nigeria’ (2025) 7(2) IJLPSR 158–164.</w:t>
      </w:r>
    </w:p>
  </w:footnote>
  <w:footnote w:id="215">
    <w:p w14:paraId="75A5A9DA">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16">
    <w:p w14:paraId="5E14A7C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The Surrogacy Bill 2024, s 20.</w:t>
      </w:r>
    </w:p>
  </w:footnote>
  <w:footnote w:id="217">
    <w:p w14:paraId="007E3BF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18">
    <w:p w14:paraId="348D58A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WHO</w:t>
      </w:r>
      <w:r>
        <w:rPr>
          <w:rFonts w:ascii="Times New Roman" w:cs="Times New Roman" w:hAnsi="Times New Roman"/>
        </w:rPr>
        <w:t xml:space="preserve"> (n 181).</w:t>
      </w:r>
    </w:p>
  </w:footnote>
  <w:footnote w:id="219">
    <w:p w14:paraId="2D6B53D2">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(n 167) 1–8.</w:t>
      </w:r>
    </w:p>
  </w:footnote>
  <w:footnote w:id="220">
    <w:p w14:paraId="5F492A04">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Susan Golombok (n 185) 119–125.</w:t>
      </w:r>
    </w:p>
  </w:footnote>
  <w:footnote w:id="221">
    <w:p w14:paraId="5F49861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222">
    <w:p w14:paraId="4D9E5403">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(n 167) 12–15.</w:t>
      </w:r>
    </w:p>
  </w:footnote>
  <w:footnote w:id="223">
    <w:p w14:paraId="791E5066">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Margaret Brazier and others, </w:t>
      </w:r>
      <w:r>
        <w:rPr>
          <w:rFonts w:ascii="Times New Roman" w:cs="Times New Roman" w:hAnsi="Times New Roman"/>
          <w:i/>
          <w:iCs/>
        </w:rPr>
        <w:t>Surrogacy Review</w:t>
      </w:r>
      <w:r>
        <w:rPr>
          <w:rFonts w:ascii="Times New Roman" w:cs="Times New Roman" w:hAnsi="Times New Roman"/>
        </w:rPr>
        <w:t xml:space="preserve"> (Cm 4068, 1998) para 2.7.</w:t>
      </w:r>
    </w:p>
  </w:footnote>
  <w:footnote w:id="224">
    <w:p w14:paraId="34CAA1DD">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Dafni Lima (n 67).</w:t>
      </w:r>
    </w:p>
  </w:footnote>
  <w:footnote w:id="225">
    <w:p w14:paraId="3791BF19">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In re Baby M(n 28).</w:t>
      </w:r>
    </w:p>
  </w:footnote>
  <w:footnote w:id="226">
    <w:p w14:paraId="6F960A0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27">
    <w:p w14:paraId="14D14BF2">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28">
    <w:p w14:paraId="0F53511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29">
    <w:p w14:paraId="732DC18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 n 107).</w:t>
      </w:r>
    </w:p>
  </w:footnote>
  <w:footnote w:id="230">
    <w:p w14:paraId="31F4EA83">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31">
    <w:p w14:paraId="376EA2A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32">
    <w:p w14:paraId="32CC973D">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Obadina (n 12).</w:t>
      </w:r>
    </w:p>
  </w:footnote>
  <w:footnote w:id="233">
    <w:p w14:paraId="229CC38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34">
    <w:p w14:paraId="5F23FC8E">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 S Adelakun (n 9).</w:t>
      </w:r>
    </w:p>
  </w:footnote>
  <w:footnote w:id="235">
    <w:p w14:paraId="75CCBBFB">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Obadina (n 12).</w:t>
      </w:r>
    </w:p>
  </w:footnote>
  <w:footnote w:id="236">
    <w:p w14:paraId="442B63D7">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(n 167)22–24.</w:t>
      </w:r>
    </w:p>
  </w:footnote>
  <w:footnote w:id="237">
    <w:p w14:paraId="7A416D0A">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38">
    <w:p w14:paraId="3873F383">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In re Baby M (n 28).</w:t>
      </w:r>
    </w:p>
  </w:footnote>
  <w:footnote w:id="239">
    <w:p w14:paraId="3F6577FB">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Margaret Brazier and others (n 223) para 3.18.</w:t>
      </w:r>
    </w:p>
  </w:footnote>
  <w:footnote w:id="240">
    <w:p w14:paraId="04F732C2">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In re Baby M (n 28).</w:t>
      </w:r>
    </w:p>
  </w:footnote>
  <w:footnote w:id="241">
    <w:p w14:paraId="59BEC5B6">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42">
    <w:p w14:paraId="03428B0A">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43">
    <w:p w14:paraId="08175D1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(n 107).</w:t>
      </w:r>
    </w:p>
  </w:footnote>
  <w:footnote w:id="244">
    <w:p w14:paraId="4953B3C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45">
    <w:p w14:paraId="3B4EF5F6">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46">
    <w:p w14:paraId="160543CD">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Dafni Lima (n 67).</w:t>
      </w:r>
    </w:p>
  </w:footnote>
  <w:footnote w:id="247">
    <w:p w14:paraId="536F1272">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E Jackson (n 134) 909.</w:t>
      </w:r>
    </w:p>
  </w:footnote>
  <w:footnote w:id="248">
    <w:p w14:paraId="382AF73B">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49">
    <w:p w14:paraId="32B91A8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Though she may be reimbursed for expenses; Human Fertilisation and Embryology Act 2008 (UK), s 54(8).</w:t>
      </w:r>
    </w:p>
  </w:footnote>
  <w:footnote w:id="250">
    <w:p w14:paraId="7A0089F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Human Fertilisation and Embryology Act 2008 (UK), s 54(8).</w:t>
      </w:r>
    </w:p>
  </w:footnote>
  <w:footnote w:id="251">
    <w:p w14:paraId="03C06E0B">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52">
    <w:p w14:paraId="066C4B21">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(n 167) 188.</w:t>
      </w:r>
    </w:p>
  </w:footnote>
  <w:footnote w:id="253">
    <w:p w14:paraId="4A774C80">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Debra Satz, Why Some Things Should Not Be for Sale: The Moral Limits of Markets (OUP 2010) 123–125.</w:t>
      </w:r>
    </w:p>
  </w:footnote>
  <w:footnote w:id="254">
    <w:p w14:paraId="124CC436">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E Jackson (n 134) 921.</w:t>
      </w:r>
    </w:p>
  </w:footnote>
  <w:footnote w:id="255">
    <w:p w14:paraId="567723CA">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 Bill To Criminalise Commercial Surrogacy In Nigeria Scales First Reading &lt;https://compos-mentis.com/a bill-to-criminalise-commercial-surrogacy-in-nigeria-scales-first-reading/&gt; accessed 3 April 2026.</w:t>
      </w:r>
    </w:p>
  </w:footnote>
  <w:footnote w:id="256">
    <w:p w14:paraId="37E8C997">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Women's Health and Surrogacy Protection Bill 2025, s 6.</w:t>
      </w:r>
    </w:p>
  </w:footnote>
  <w:footnote w:id="257">
    <w:p w14:paraId="7CA13414">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Women's Health and Surrogacy Protection Bill, 2025.</w:t>
      </w:r>
    </w:p>
  </w:footnote>
  <w:footnote w:id="258">
    <w:p w14:paraId="1711A84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59">
    <w:p w14:paraId="5923CF9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60">
    <w:p w14:paraId="7C7408E2">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Abiade (n 5).</w:t>
      </w:r>
    </w:p>
  </w:footnote>
  <w:footnote w:id="261">
    <w:p w14:paraId="68E052D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62">
    <w:p w14:paraId="2758A773">
      <w:pPr>
        <w:pStyle w:val="style0"/>
        <w:spacing w:lineRule="auto" w:line="240"/>
        <w:jc w:val="both"/>
        <w:rPr>
          <w:rFonts w:ascii="Times New Roman" w:cs="Times New Roman" w:hAnsi="Times New Roman"/>
          <w:sz w:val="20"/>
          <w:szCs w:val="20"/>
          <w:lang w:val="en-US"/>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Women's Health and Surrogacy Protection Bill 2025, s 6.</w:t>
      </w:r>
    </w:p>
  </w:footnote>
  <w:footnote w:id="263">
    <w:p w14:paraId="61BBF45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Women's Health and Surrogacy Protection Bill, 2025.</w:t>
      </w:r>
    </w:p>
  </w:footnote>
  <w:footnote w:id="264">
    <w:p w14:paraId="759E4062">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(n 167) 181.</w:t>
      </w:r>
    </w:p>
  </w:footnote>
  <w:footnote w:id="265">
    <w:p w14:paraId="203EA904">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Margaret Brazier and others (n 223) 238–241.</w:t>
      </w:r>
    </w:p>
  </w:footnote>
  <w:footnote w:id="266">
    <w:p w14:paraId="5752BDAE">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Amel Alghrani and Danielle Griffiths, ‘Regulation of Surrogacy’ in Martin Richards, Jill Marshall and others (eds), Human Rights and the Family (Routledge 2017).</w:t>
      </w:r>
    </w:p>
  </w:footnote>
  <w:footnote w:id="267">
    <w:p w14:paraId="78ECD080">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and Paul Beaumont, International Surrogacy Arrangements (Hart Publishing 2013) 6–8.</w:t>
      </w:r>
    </w:p>
  </w:footnote>
  <w:footnote w:id="268">
    <w:p w14:paraId="579590B6">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Katarina Trimmings (n 167) 181.</w:t>
      </w:r>
    </w:p>
  </w:footnote>
  <w:footnote w:id="269">
    <w:p w14:paraId="57B9AAE6">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Dirisu Yakubu, ‘Reps to criminalise commercial surrogacy’ </w:t>
      </w:r>
      <w:r>
        <w:rPr>
          <w:rFonts w:ascii="Times New Roman" w:cs="Times New Roman" w:hAnsi="Times New Roman"/>
          <w:i/>
          <w:iCs/>
        </w:rPr>
        <w:t>Punch</w:t>
      </w:r>
      <w:r>
        <w:rPr>
          <w:rFonts w:ascii="Times New Roman" w:cs="Times New Roman" w:hAnsi="Times New Roman"/>
        </w:rPr>
        <w:t xml:space="preserve"> (26 May 2025) &lt;https://punchng.com/reps-to-criminalise-commercial-surrogacy/&gt; accessed 3 April 2026.</w:t>
      </w:r>
    </w:p>
  </w:footnote>
  <w:footnote w:id="270">
    <w:p w14:paraId="6C0DBD1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271">
    <w:p w14:paraId="611B7AF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72">
    <w:p w14:paraId="7827324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Surrogacy Bill 2024. s 9.</w:t>
      </w:r>
    </w:p>
  </w:footnote>
  <w:footnote w:id="273">
    <w:p w14:paraId="0AAE1C4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74">
    <w:p w14:paraId="6FD3109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UN CRC 1989, art 3.</w:t>
      </w:r>
    </w:p>
  </w:footnote>
  <w:footnote w:id="275">
    <w:p w14:paraId="4FF34037">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John Tobin, ‘CRC and Childhood’ (2026) 16(1) Global Studies of Childhood 37–50 &lt;https://doi.org/10.1177/20436106251387809&gt; accessed 7 April 2026.</w:t>
      </w:r>
    </w:p>
  </w:footnote>
  <w:footnote w:id="276">
    <w:p w14:paraId="7831539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UNCRC 1989, arts 3, 7 and 8.</w:t>
      </w:r>
    </w:p>
  </w:footnote>
  <w:footnote w:id="277">
    <w:p w14:paraId="2C933FD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Child’s Rights Act 2003, s 1.</w:t>
      </w:r>
    </w:p>
  </w:footnote>
  <w:footnote w:id="278">
    <w:p w14:paraId="27BBE8C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79">
    <w:p w14:paraId="2759D9C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Child’s Rights Act 2003, s 4.</w:t>
      </w:r>
    </w:p>
  </w:footnote>
  <w:footnote w:id="280">
    <w:p w14:paraId="2C3083E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5.</w:t>
      </w:r>
    </w:p>
  </w:footnote>
  <w:footnote w:id="281">
    <w:p w14:paraId="2E74DBB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8.</w:t>
      </w:r>
    </w:p>
  </w:footnote>
  <w:footnote w:id="282">
    <w:p w14:paraId="4104BE8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15.</w:t>
      </w:r>
    </w:p>
  </w:footnote>
  <w:footnote w:id="283">
    <w:p w14:paraId="4145BDD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2003, ss 11, 14, 17 and 21-35.</w:t>
      </w:r>
    </w:p>
  </w:footnote>
  <w:footnote w:id="284">
    <w:p w14:paraId="20E7A13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UNCRC 1989, art 3(1).</w:t>
      </w:r>
    </w:p>
  </w:footnote>
  <w:footnote w:id="285">
    <w:p w14:paraId="372DE9A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86">
    <w:p w14:paraId="6ECF9DA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Mater semper certa est (n 28).</w:t>
      </w:r>
    </w:p>
  </w:footnote>
  <w:footnote w:id="287">
    <w:p w14:paraId="4065E82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MCA, Cap M7 LFN 2004, s 71.</w:t>
      </w:r>
    </w:p>
  </w:footnote>
  <w:footnote w:id="288">
    <w:p w14:paraId="43DA8AC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Child’s Rights Act 2003, s 1.</w:t>
      </w:r>
    </w:p>
  </w:footnote>
  <w:footnote w:id="289">
    <w:p w14:paraId="384466A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Williams v Williams (n 117).</w:t>
      </w:r>
    </w:p>
  </w:footnote>
  <w:footnote w:id="290">
    <w:p w14:paraId="58D141A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CFRN 1999 (as amended), s 42.</w:t>
      </w:r>
    </w:p>
  </w:footnote>
  <w:footnote w:id="291">
    <w:p w14:paraId="17B32CC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 Tobin, The UN CRC: A Commentary (OUP 2019) 112.</w:t>
      </w:r>
    </w:p>
  </w:footnote>
  <w:footnote w:id="292">
    <w:p w14:paraId="6F5433C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CFRN 1999 (as amended), s 37.</w:t>
      </w:r>
    </w:p>
  </w:footnote>
  <w:footnote w:id="293">
    <w:p w14:paraId="7000119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 Jackson (n 134).</w:t>
      </w:r>
    </w:p>
  </w:footnote>
  <w:footnote w:id="294">
    <w:p w14:paraId="24E0BBB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Mojekwu v Mojekwu [1997] 7NWLR(Pt 512) 283.</w:t>
      </w:r>
    </w:p>
  </w:footnote>
  <w:footnote w:id="295">
    <w:p w14:paraId="47579E9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Ukeje v.Ukeje[2014] 11NWLR(Pt 1418) 384.</w:t>
      </w:r>
    </w:p>
  </w:footnote>
  <w:footnote w:id="296">
    <w:p w14:paraId="007278A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Mojekwu .v Mojekwu(n 294); Ukeje v Ukeje (n 295).</w:t>
      </w:r>
    </w:p>
  </w:footnote>
  <w:footnote w:id="297">
    <w:p w14:paraId="5230F24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98">
    <w:p w14:paraId="4B83BEE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299">
    <w:p w14:paraId="2C25B0C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00">
    <w:p w14:paraId="03DBA64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01">
    <w:p w14:paraId="78F0CA92">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art 3(1), CRC 1989; CRA, 2003, s 1; AA Owolabi, ‘Welfare Principle in Child Proceedings’ (1996) 9(2) LLJ 105.</w:t>
      </w:r>
    </w:p>
  </w:footnote>
  <w:footnote w:id="302">
    <w:p w14:paraId="46AFF02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Births, Deaths, Etc. (Compulsory Registration) Act, s 1.</w:t>
      </w:r>
    </w:p>
  </w:footnote>
  <w:footnote w:id="303">
    <w:p w14:paraId="43A0704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CRA 2003, s 8.</w:t>
      </w:r>
    </w:p>
  </w:footnote>
  <w:footnote w:id="304">
    <w:p w14:paraId="3D0BD12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5.</w:t>
      </w:r>
    </w:p>
  </w:footnote>
  <w:footnote w:id="305">
    <w:p w14:paraId="4F2558AF">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Ibid, s 42.</w:t>
      </w:r>
    </w:p>
  </w:footnote>
  <w:footnote w:id="306">
    <w:p w14:paraId="44B1FC4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UNCRC 1989, arts 7, 8, 2 and 19.</w:t>
      </w:r>
    </w:p>
  </w:footnote>
  <w:footnote w:id="307">
    <w:p w14:paraId="4A09E1D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Child’s Rights Act 2003, s 5.</w:t>
      </w:r>
    </w:p>
  </w:footnote>
  <w:footnote w:id="308">
    <w:p w14:paraId="016E776B">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Ibid, s 8.</w:t>
      </w:r>
    </w:p>
  </w:footnote>
  <w:footnote w:id="309">
    <w:p w14:paraId="4502067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17.</w:t>
      </w:r>
    </w:p>
  </w:footnote>
  <w:footnote w:id="310">
    <w:p w14:paraId="6B95145E">
      <w:pPr>
        <w:pStyle w:val="style29"/>
        <w:jc w:val="both"/>
        <w:rPr>
          <w:rFonts w:ascii="Times New Roman" w:cs="Times New Roman" w:hAnsi="Times New Roman"/>
          <w:iCs/>
          <w:lang w:val="en-US"/>
        </w:rPr>
      </w:pPr>
      <w:r>
        <w:rPr>
          <w:rStyle w:val="style38"/>
          <w:rFonts w:ascii="Times New Roman" w:cs="Times New Roman" w:hAnsi="Times New Roman"/>
        </w:rPr>
        <w:footnoteRef/>
      </w:r>
      <w:r>
        <w:rPr>
          <w:rFonts w:ascii="Times New Roman" w:cs="Times New Roman" w:hAnsi="Times New Roman"/>
        </w:rPr>
        <w:t xml:space="preserve"> Births and Deaths Registration Act, Cap B9, LFN 2004, s9.</w:t>
      </w:r>
    </w:p>
  </w:footnote>
  <w:footnote w:id="311">
    <w:p w14:paraId="49C60EAF">
      <w:pPr>
        <w:pStyle w:val="style29"/>
        <w:jc w:val="both"/>
        <w:rPr>
          <w:rFonts w:ascii="Times New Roman" w:cs="Times New Roman" w:hAnsi="Times New Roman"/>
          <w:lang w:val="en-US"/>
        </w:rPr>
      </w:pPr>
      <w:r>
        <w:rPr>
          <w:rStyle w:val="style38"/>
          <w:rFonts w:ascii="Times New Roman" w:cs="Times New Roman" w:hAnsi="Times New Roman"/>
          <w:iCs/>
        </w:rPr>
        <w:footnoteRef/>
      </w:r>
      <w:r>
        <w:rPr>
          <w:rFonts w:ascii="Times New Roman" w:cs="Times New Roman" w:hAnsi="Times New Roman"/>
        </w:rPr>
        <w:t xml:space="preserve"> Ibid, s 12.</w:t>
      </w:r>
    </w:p>
  </w:footnote>
  <w:footnote w:id="312">
    <w:p w14:paraId="5C6990C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Ezenwa and others (n 73); Shenfield F and others (n 11); Adelakun (n 9).</w:t>
      </w:r>
    </w:p>
  </w:footnote>
  <w:footnote w:id="313">
    <w:p w14:paraId="2B74ED6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Ezenwa and others (n 73).</w:t>
      </w:r>
    </w:p>
  </w:footnote>
  <w:footnote w:id="314">
    <w:p w14:paraId="42DC56D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Shenfield F and others (n 11).</w:t>
      </w:r>
    </w:p>
  </w:footnote>
  <w:footnote w:id="315">
    <w:p w14:paraId="5757D27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Adelakun (n 9).</w:t>
      </w:r>
    </w:p>
  </w:footnote>
  <w:footnote w:id="316">
    <w:p w14:paraId="47E74E19">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Nigeria has no single statutory definition of parent; parentage is determined through statute, customary law and common law presumptions. See CRA, 2003, ss 19-20 and pt XII; Evidence Act, 2011, s 165; Births and Deaths Registration Act, 1992; William Blackstone, </w:t>
      </w:r>
      <w:r>
        <w:rPr>
          <w:rFonts w:ascii="Times New Roman" w:cs="Times New Roman" w:hAnsi="Times New Roman"/>
          <w:i/>
          <w:iCs/>
        </w:rPr>
        <w:t>Commentaries, Book I</w:t>
      </w:r>
      <w:r>
        <w:rPr>
          <w:rFonts w:ascii="Times New Roman" w:cs="Times New Roman" w:hAnsi="Times New Roman"/>
        </w:rPr>
        <w:t xml:space="preserve"> (1765).</w:t>
      </w:r>
    </w:p>
  </w:footnote>
  <w:footnote w:id="317">
    <w:p w14:paraId="0341158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18">
    <w:p w14:paraId="0BE7FE5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 n 107).</w:t>
      </w:r>
    </w:p>
  </w:footnote>
  <w:footnote w:id="319">
    <w:p w14:paraId="336DD92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Surrogacy Bill2024, s 20.</w:t>
      </w:r>
    </w:p>
  </w:footnote>
  <w:footnote w:id="320">
    <w:p w14:paraId="07EB175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21">
    <w:p w14:paraId="26F6582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322">
    <w:p w14:paraId="2C1FDE6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23">
    <w:p w14:paraId="4B811B9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24">
    <w:p w14:paraId="162DEC1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25">
    <w:p w14:paraId="715E3A90">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The Human Fertilisation and Embryology (HFE)Act 2008, s 1.</w:t>
      </w:r>
    </w:p>
  </w:footnote>
  <w:footnote w:id="326">
    <w:p w14:paraId="22ED8AB5">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27">
    <w:p w14:paraId="7282A26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HFE 2008, ss 41 and 47.</w:t>
      </w:r>
    </w:p>
  </w:footnote>
  <w:footnote w:id="328">
    <w:p w14:paraId="38B96B5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329">
    <w:p w14:paraId="1B71959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The Assisted Reproductive Technology (Regulation) Bill 2016, s 2(g).</w:t>
      </w:r>
    </w:p>
  </w:footnote>
  <w:footnote w:id="330">
    <w:p w14:paraId="03B75C5F">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Fertility Law Center, ‘Embryo Donation Agreements’ &lt;https://fertilitylawcenter.com/embryo-donation-agreements&gt; accessed 8 June 2026.</w:t>
      </w:r>
    </w:p>
  </w:footnote>
  <w:footnote w:id="331">
    <w:p w14:paraId="73F6734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32">
    <w:p w14:paraId="68E698D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National Assembly of the Federal Republic of Nigeria (n 40); National Assembly of the Federal Republic of Nigeria ( n 47).</w:t>
      </w:r>
    </w:p>
  </w:footnote>
  <w:footnote w:id="333">
    <w:p w14:paraId="4899DD2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Fertility Law Center (n 330).</w:t>
      </w:r>
    </w:p>
  </w:footnote>
  <w:footnote w:id="334">
    <w:p w14:paraId="113C1D0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35">
    <w:p w14:paraId="2ADC5B6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Human Fertilisation and Embryology Act (HFE) 2008, Section 1.</w:t>
      </w:r>
    </w:p>
  </w:footnote>
  <w:footnote w:id="336">
    <w:p w14:paraId="3CEFE4D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337">
    <w:p w14:paraId="503DD439">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HFE Act 2008, Section 1.</w:t>
      </w:r>
    </w:p>
  </w:footnote>
  <w:footnote w:id="338">
    <w:p w14:paraId="6B6DC0EA">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HFE Act 2008, ss 40 and 46.</w:t>
      </w:r>
    </w:p>
  </w:footnote>
  <w:footnote w:id="339">
    <w:p w14:paraId="210F4066">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40">
    <w:p w14:paraId="1BEC548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National Assembly of the FRN (n 214).</w:t>
      </w:r>
    </w:p>
  </w:footnote>
  <w:footnote w:id="341">
    <w:p w14:paraId="06D7C795">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Abide (n 5).</w:t>
      </w:r>
    </w:p>
  </w:footnote>
  <w:footnote w:id="342">
    <w:p w14:paraId="715CAB6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43">
    <w:p w14:paraId="424081F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Surrogacy Bill 2024, s 11(2).</w:t>
      </w:r>
    </w:p>
  </w:footnote>
  <w:footnote w:id="344">
    <w:p w14:paraId="3D6D8B9E">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345">
    <w:p w14:paraId="613D854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46">
    <w:p w14:paraId="712889F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Surrogacy Bill 2024.</w:t>
      </w:r>
    </w:p>
  </w:footnote>
  <w:footnote w:id="347">
    <w:p w14:paraId="2C2A3095">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Ibid, s 20.</w:t>
      </w:r>
    </w:p>
  </w:footnote>
  <w:footnote w:id="348">
    <w:p w14:paraId="0300348F">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In re Baby M (n 28).</w:t>
      </w:r>
    </w:p>
  </w:footnote>
  <w:footnote w:id="349">
    <w:p w14:paraId="749CD0B5">
      <w:pPr>
        <w:pStyle w:val="style29"/>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Johnson v Calvert(n107).</w:t>
      </w:r>
    </w:p>
  </w:footnote>
  <w:footnote w:id="350">
    <w:p w14:paraId="6E241FF5">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51">
    <w:p w14:paraId="09373754">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52">
    <w:p w14:paraId="0B2D1638">
      <w:pPr>
        <w:pStyle w:val="style29"/>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Human Fertilisation and Embryology Act 2008 (UK), s 54(8).</w:t>
      </w:r>
    </w:p>
  </w:footnote>
  <w:footnote w:id="353">
    <w:p w14:paraId="7DA915DD">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54">
    <w:p w14:paraId="594E0D6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 Bill To Criminalise Commercial Surrogacy In Nigeria Scales First Reading (n 255).</w:t>
      </w:r>
    </w:p>
  </w:footnote>
  <w:footnote w:id="355">
    <w:p w14:paraId="1102AB5F">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Amel Alghrani ( n 266).</w:t>
      </w:r>
    </w:p>
  </w:footnote>
  <w:footnote w:id="356">
    <w:p w14:paraId="20D8E596">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Women's Health and Surrogacy Protection Bill 2025, s 6.</w:t>
      </w:r>
    </w:p>
  </w:footnote>
  <w:footnote w:id="357">
    <w:p w14:paraId="6AE45F36">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Surrogacy Bill 2024, s 20.</w:t>
      </w:r>
    </w:p>
  </w:footnote>
  <w:footnote w:id="358">
    <w:p w14:paraId="491D97A2">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59">
    <w:p w14:paraId="1BA1328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60">
    <w:p w14:paraId="5AC9A39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Katarina Trimmings (n 167) 16.</w:t>
      </w:r>
    </w:p>
  </w:footnote>
  <w:footnote w:id="361">
    <w:p w14:paraId="5492F6A8">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Women's Health and Surrogacy Protection Bill2025, s 12.</w:t>
      </w:r>
    </w:p>
  </w:footnote>
  <w:footnote w:id="362">
    <w:p w14:paraId="05629066">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Susan Golombok (n 185) 114–116.</w:t>
      </w:r>
    </w:p>
  </w:footnote>
  <w:footnote w:id="363">
    <w:p w14:paraId="371BB9A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64">
    <w:p w14:paraId="3C3886D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65">
    <w:p w14:paraId="4FD1C67C">
      <w:pPr>
        <w:pStyle w:val="style29"/>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Federal Republic of Nigeria, A Bill for an Act to Protect the Health and Well-being of Women, Particularly in Relation to Surrogacy, and for Related Matters, 2025 HB 2340, First Reading, 21 May 2025. &lt;https://p.placbillstrack.org/bills/8a76749d-30f3-4dcc-8715-674348a9ba47/&gt; accessed 26 April 2026;Dirisu Yakubu (n 269).</w:t>
      </w:r>
    </w:p>
  </w:footnote>
  <w:footnote w:id="366">
    <w:p w14:paraId="3B945DAF">
      <w:pPr>
        <w:pStyle w:val="style29"/>
        <w:snapToGrid w:val="false"/>
        <w:jc w:val="both"/>
        <w:rPr>
          <w:rFonts w:ascii="Times New Roman" w:cs="Times New Roman" w:hAnsi="Times New Roman"/>
          <w:i/>
          <w:iCs/>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Federal Republic of Nigeria, Order Paper, Thursday 3 October 2024, item on ‘ABill for an Act to Establish Nigeria Surrogacy Regulatory Commission.’.</w:t>
      </w:r>
    </w:p>
  </w:footnote>
  <w:footnote w:id="367">
    <w:p w14:paraId="453F74C4">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The Human Fertilisation and Embryology Act 2008, s 1.</w:t>
      </w:r>
    </w:p>
  </w:footnote>
  <w:footnote w:id="368">
    <w:p w14:paraId="125D3B82">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69">
    <w:p w14:paraId="3AE4B177">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The Assisted Reproductive Technology (Regulation) Bill 2016, s 2(g).</w:t>
      </w:r>
    </w:p>
  </w:footnote>
  <w:footnote w:id="370">
    <w:p w14:paraId="66C4F24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RB Vaughn, ‘Assisted Reproductive Technology Law: 10 FAQs’ &lt;https://www.americanbar.org/groups/family_law/resources/family-advocate/archive/assisted-reproductive-technology-law-10-faqs/&gt; accessed 3 April 2026.</w:t>
      </w:r>
    </w:p>
  </w:footnote>
  <w:footnote w:id="371">
    <w:p w14:paraId="55A66848">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Fiebai and Kinikanwo (n 152); Human Fertilisation and Embryology Authority (HFEA), Code of Practice (9th edn, 2021) chs 8–11.</w:t>
      </w:r>
    </w:p>
  </w:footnote>
  <w:footnote w:id="372">
    <w:p w14:paraId="78A3D0E8">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73">
    <w:p w14:paraId="52F39863">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Umeh (n 157).</w:t>
      </w:r>
    </w:p>
  </w:footnote>
  <w:footnote w:id="374">
    <w:p w14:paraId="4C406DD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Child’s Rights Act 2003, s 1.</w:t>
      </w:r>
    </w:p>
  </w:footnote>
  <w:footnote w:id="375">
    <w:p w14:paraId="70028BF1">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Williams v Williams (n 117).</w:t>
      </w:r>
    </w:p>
  </w:footnote>
  <w:footnote w:id="376">
    <w:p w14:paraId="1436F8BA">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 Tobin, The UN CRC: A Commentary (OUP 2019) 112.</w:t>
      </w:r>
    </w:p>
  </w:footnote>
  <w:footnote w:id="377">
    <w:p w14:paraId="4C2C1DED">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78">
    <w:p w14:paraId="7D041AE7">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79">
    <w:p w14:paraId="77B9B46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Ezenwa (n 73).</w:t>
      </w:r>
    </w:p>
  </w:footnote>
  <w:footnote w:id="380">
    <w:p w14:paraId="3550559C">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Michael Freeman, </w:t>
      </w:r>
      <w:r>
        <w:rPr>
          <w:rFonts w:ascii="Times New Roman" w:cs="Times New Roman" w:hAnsi="Times New Roman"/>
          <w:i/>
        </w:rPr>
        <w:t>Lloyd's Intro. to Jurisprud.</w:t>
      </w:r>
      <w:r>
        <w:rPr>
          <w:rFonts w:ascii="Times New Roman" w:cs="Times New Roman" w:hAnsi="Times New Roman"/>
        </w:rPr>
        <w:t xml:space="preserve"> (9th edn, Sweet &amp; Maxwell 2014) 95–98.</w:t>
      </w:r>
    </w:p>
  </w:footnote>
  <w:footnote w:id="381">
    <w:p w14:paraId="16F380BD">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Brian H Bix, Jurisprud.: Theory and Context (8th edn, Sweet &amp; Maxwell 2019) 71–73.</w:t>
      </w:r>
    </w:p>
  </w:footnote>
  <w:footnote w:id="382">
    <w:p w14:paraId="52558AF9">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 Finnis, </w:t>
      </w:r>
      <w:r>
        <w:rPr>
          <w:rFonts w:ascii="Times New Roman" w:cs="Times New Roman" w:hAnsi="Times New Roman"/>
          <w:i/>
          <w:iCs/>
        </w:rPr>
        <w:t>Natural Law and Natural Rights</w:t>
      </w:r>
      <w:r>
        <w:rPr>
          <w:rFonts w:ascii="Times New Roman" w:cs="Times New Roman" w:hAnsi="Times New Roman"/>
        </w:rPr>
        <w:t xml:space="preserve"> (2nd edn, Oxford: OUP, 2011).</w:t>
      </w:r>
    </w:p>
  </w:footnote>
  <w:footnote w:id="383">
    <w:p w14:paraId="6ABF37B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Aristotle, Nicomachean Ethics (Roger Crisp tr, CUP 2000) bk V.</w:t>
      </w:r>
    </w:p>
  </w:footnote>
  <w:footnote w:id="384">
    <w:p w14:paraId="40ADDB7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Michael Freeman (n 380).</w:t>
      </w:r>
    </w:p>
  </w:footnote>
  <w:footnote w:id="385">
    <w:p w14:paraId="242C1283">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Thomas Aquinas, Summa Theologiae I–II, q 94.</w:t>
      </w:r>
    </w:p>
  </w:footnote>
  <w:footnote w:id="386">
    <w:p w14:paraId="78C3C013">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87">
    <w:p w14:paraId="0FC41A5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 Finnis (n 382).</w:t>
      </w:r>
    </w:p>
  </w:footnote>
  <w:footnote w:id="388">
    <w:p w14:paraId="1B852E04">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Ibid.</w:t>
      </w:r>
    </w:p>
  </w:footnote>
  <w:footnote w:id="389">
    <w:p w14:paraId="38163F47">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Margaret Brazier and others (n 223).</w:t>
      </w:r>
    </w:p>
  </w:footnote>
  <w:footnote w:id="390">
    <w:p w14:paraId="17CC0967">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91">
    <w:p w14:paraId="11CB1002">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 Finnis (n 382).</w:t>
      </w:r>
    </w:p>
  </w:footnote>
  <w:footnote w:id="392">
    <w:p w14:paraId="4B9164B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393">
    <w:p w14:paraId="0AFDC77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 A Oba, ‘Religious and Customary Laws in Nigeria’ [2011] (25)(2) </w:t>
      </w:r>
      <w:r>
        <w:rPr>
          <w:rFonts w:ascii="Times New Roman" w:cs="Times New Roman" w:hAnsi="Times New Roman"/>
          <w:i/>
        </w:rPr>
        <w:t>Emory International L. Rev.</w:t>
      </w:r>
    </w:p>
  </w:footnote>
  <w:footnote w:id="394">
    <w:p w14:paraId="4752779C">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HLA Hart, </w:t>
      </w:r>
      <w:r>
        <w:rPr>
          <w:rFonts w:ascii="Times New Roman" w:cs="Times New Roman" w:hAnsi="Times New Roman"/>
          <w:i/>
          <w:iCs/>
        </w:rPr>
        <w:t>The Concept of L.</w:t>
      </w:r>
      <w:r>
        <w:rPr>
          <w:rFonts w:ascii="Times New Roman" w:cs="Times New Roman" w:hAnsi="Times New Roman"/>
        </w:rPr>
        <w:t xml:space="preserve"> (3rd edn, OUP 2012).</w:t>
      </w:r>
    </w:p>
  </w:footnote>
  <w:footnote w:id="395">
    <w:p w14:paraId="36BC9457">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Raymond Wacks, </w:t>
      </w:r>
      <w:r>
        <w:rPr>
          <w:rFonts w:ascii="Times New Roman" w:cs="Times New Roman" w:hAnsi="Times New Roman"/>
          <w:i/>
          <w:iCs/>
        </w:rPr>
        <w:t>Understanding Jurisprud.: An Introduction to Legal Theory</w:t>
      </w:r>
      <w:r>
        <w:rPr>
          <w:rFonts w:ascii="Times New Roman" w:cs="Times New Roman" w:hAnsi="Times New Roman"/>
        </w:rPr>
        <w:t xml:space="preserve"> (7th edn, OUP 2021).</w:t>
      </w:r>
    </w:p>
  </w:footnote>
  <w:footnote w:id="396">
    <w:p w14:paraId="0C514209">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HLA Hart (n 394).</w:t>
      </w:r>
    </w:p>
  </w:footnote>
  <w:footnote w:id="397">
    <w:p w14:paraId="04723323">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John Austin, </w:t>
      </w:r>
      <w:r>
        <w:rPr>
          <w:rFonts w:ascii="Times New Roman" w:cs="Times New Roman" w:hAnsi="Times New Roman"/>
          <w:i/>
          <w:iCs/>
        </w:rPr>
        <w:t>The Province of Jurisprudence Determined</w:t>
      </w:r>
      <w:r>
        <w:rPr>
          <w:rFonts w:ascii="Times New Roman" w:cs="Times New Roman" w:hAnsi="Times New Roman"/>
        </w:rPr>
        <w:t>(Wilfrid E Rumble ed, CUP 1995).</w:t>
      </w:r>
    </w:p>
  </w:footnote>
  <w:footnote w:id="398">
    <w:p w14:paraId="367417A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HLA Hart (n 394).</w:t>
      </w:r>
    </w:p>
  </w:footnote>
  <w:footnote w:id="399">
    <w:p w14:paraId="503A1FC2">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00">
    <w:p w14:paraId="0BC5983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01">
    <w:p w14:paraId="7308304A">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Jeremy Bentham, ‘Anarchical Fallacies’ in John Bowring (ed), The Works of Jeremy Bentham, vol 2 (William Tait 1843).</w:t>
      </w:r>
    </w:p>
  </w:footnote>
  <w:footnote w:id="402">
    <w:p w14:paraId="3625E17C">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HLA Hart (n 394).</w:t>
      </w:r>
    </w:p>
  </w:footnote>
  <w:footnote w:id="403">
    <w:p w14:paraId="6C891C8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04">
    <w:p w14:paraId="7230986A">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CFRN 1999 (as amended); CRA 2003; Evidence Act 2011; MCA, Cap M7, LFN 2004.</w:t>
      </w:r>
    </w:p>
  </w:footnote>
  <w:footnote w:id="405">
    <w:p w14:paraId="04D9F4D5">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Leslie Green and Thomas Adams, ‘Legal Post.’ in Edward N Zalta and Uri Nodelman (eds), The Stanford Encyclopedia of Philosophy (Winter 2025 Edition) &lt;https://plato.stanford.edu/archives/win2025/entries/legal- positivism/&gt; accessed 9 June 2026.</w:t>
      </w:r>
    </w:p>
  </w:footnote>
  <w:footnote w:id="406">
    <w:p w14:paraId="3A0DC104">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07">
    <w:p w14:paraId="7268E4AA">
      <w:pPr>
        <w:pStyle w:val="style29"/>
        <w:snapToGrid w:val="false"/>
        <w:rPr>
          <w:rFonts w:ascii="Times New Roman" w:cs="Times New Roman" w:hAnsi="Times New Roman"/>
          <w:i/>
          <w:iCs/>
        </w:rPr>
      </w:pPr>
      <w:r>
        <w:rPr>
          <w:rStyle w:val="style38"/>
          <w:rFonts w:ascii="Times New Roman" w:cs="Times New Roman" w:hAnsi="Times New Roman"/>
        </w:rPr>
        <w:footnoteRef/>
      </w:r>
      <w:r>
        <w:rPr>
          <w:rFonts w:ascii="Times New Roman" w:cs="Times New Roman" w:hAnsi="Times New Roman"/>
        </w:rPr>
        <w:t xml:space="preserve"> Obagboye Tomi Grace and others, ‘ART Reg. in Nig.’ [2025] (7)(2) </w:t>
      </w:r>
      <w:r>
        <w:rPr>
          <w:rFonts w:ascii="Times New Roman" w:cs="Times New Roman" w:hAnsi="Times New Roman"/>
          <w:i/>
        </w:rPr>
        <w:t>IJLPSR.</w:t>
      </w:r>
    </w:p>
  </w:footnote>
  <w:footnote w:id="408">
    <w:p w14:paraId="67B047A4">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Roger Cotterrell, Sociological Jurisprudence: Juristic Thought and Social Inquiry(Routledge 2018).</w:t>
      </w:r>
    </w:p>
  </w:footnote>
  <w:footnote w:id="409">
    <w:p w14:paraId="40D7FB62">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10">
    <w:p w14:paraId="69632F9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Michael Freeman (n 380).</w:t>
      </w:r>
    </w:p>
  </w:footnote>
  <w:footnote w:id="411">
    <w:p w14:paraId="2056A6FE">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12">
    <w:p w14:paraId="43828BE0">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Michael R Hill, Roscoe Pound's Sociological Library: The Foundations of American Sociological Jurisprudence (Public Administration Series No P-2632, Vance Bibliographies 1989) &lt;http://digitalcommons.unl.edu/sociologyfacpub/452&gt; accessed 9 June 2026.</w:t>
      </w:r>
    </w:p>
  </w:footnote>
  <w:footnote w:id="413">
    <w:p w14:paraId="327DBCA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14">
    <w:p w14:paraId="05AA74B3">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Eugen Ehrlich, </w:t>
      </w:r>
      <w:r>
        <w:rPr>
          <w:rFonts w:ascii="Times New Roman" w:cs="Times New Roman" w:hAnsi="Times New Roman"/>
          <w:i/>
          <w:iCs/>
        </w:rPr>
        <w:t>Fundamental Principles of the Sociology of Law</w:t>
      </w:r>
      <w:r>
        <w:rPr>
          <w:rFonts w:ascii="Times New Roman" w:cs="Times New Roman" w:hAnsi="Times New Roman"/>
        </w:rPr>
        <w:t xml:space="preserve"> (Walter L Moll tr, Harvard University Press 1936).</w:t>
      </w:r>
    </w:p>
  </w:footnote>
  <w:footnote w:id="415">
    <w:p w14:paraId="0FFE06E4">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Roger Cotterrell, </w:t>
      </w:r>
      <w:r>
        <w:rPr>
          <w:rFonts w:ascii="Times New Roman" w:cs="Times New Roman" w:hAnsi="Times New Roman"/>
          <w:i/>
          <w:iCs/>
        </w:rPr>
        <w:t>The Sociology of Law: An Introduction</w:t>
      </w:r>
      <w:r>
        <w:rPr>
          <w:rFonts w:ascii="Times New Roman" w:cs="Times New Roman" w:hAnsi="Times New Roman"/>
        </w:rPr>
        <w:t xml:space="preserve"> (2nd edn, Butterworths 1992).</w:t>
      </w:r>
    </w:p>
  </w:footnote>
  <w:footnote w:id="416">
    <w:p w14:paraId="3A9EF8FD">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James A Gardner, ‘Soc. Jurisprudence of Roscoe Pound’ (1961) 7(1) </w:t>
      </w:r>
      <w:r>
        <w:rPr>
          <w:rFonts w:ascii="Times New Roman" w:cs="Times New Roman" w:hAnsi="Times New Roman"/>
          <w:i/>
          <w:iCs/>
        </w:rPr>
        <w:t>Vill L Rev</w:t>
      </w:r>
      <w:r>
        <w:rPr>
          <w:rFonts w:ascii="Times New Roman" w:cs="Times New Roman" w:hAnsi="Times New Roman"/>
        </w:rPr>
        <w:t xml:space="preserve"> 1 &lt;https://digitalcommons.law.villanova.edu/vlr/vol7/iss1/1&gt; accessed 9 June 2026.</w:t>
      </w:r>
    </w:p>
  </w:footnote>
  <w:footnote w:id="417">
    <w:p w14:paraId="5D9A2651">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 Jackson ( n 134).</w:t>
      </w:r>
    </w:p>
  </w:footnote>
  <w:footnote w:id="418">
    <w:p w14:paraId="4B9A7C9A">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Obagboye Tomi Grace (n 407).</w:t>
      </w:r>
    </w:p>
  </w:footnote>
  <w:footnote w:id="419">
    <w:p w14:paraId="6D3C50FF">
      <w:pPr>
        <w:pStyle w:val="style29"/>
        <w:snapToGrid w:val="false"/>
        <w:rPr>
          <w:rFonts w:ascii="Times New Roman" w:cs="Times New Roman" w:hAnsi="Times New Roman"/>
          <w:i/>
          <w:iCs/>
          <w:lang w:val="en-US"/>
        </w:rPr>
      </w:pPr>
      <w:r>
        <w:rPr>
          <w:rStyle w:val="style38"/>
          <w:rFonts w:ascii="Times New Roman" w:cs="Times New Roman" w:hAnsi="Times New Roman"/>
        </w:rPr>
        <w:footnoteRef/>
      </w:r>
      <w:r>
        <w:rPr>
          <w:rFonts w:ascii="Times New Roman" w:cs="Times New Roman" w:hAnsi="Times New Roman"/>
        </w:rPr>
        <w:t xml:space="preserve"> Roscoe Pound, ‘Scope of Soc. Jurispud.’ [1911] 25 </w:t>
      </w:r>
      <w:r>
        <w:rPr>
          <w:rFonts w:ascii="Times New Roman" w:cs="Times New Roman" w:hAnsi="Times New Roman"/>
          <w:i/>
          <w:iCs/>
        </w:rPr>
        <w:t>Harv L Rev</w:t>
      </w:r>
      <w:r>
        <w:rPr>
          <w:rFonts w:ascii="Times New Roman" w:cs="Times New Roman" w:hAnsi="Times New Roman"/>
        </w:rPr>
        <w:t>.</w:t>
      </w:r>
    </w:p>
  </w:footnote>
  <w:footnote w:id="420">
    <w:p w14:paraId="33055872">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Michael Freeman (n 380)</w:t>
      </w:r>
    </w:p>
  </w:footnote>
  <w:footnote w:id="421">
    <w:p w14:paraId="1E2BC82A">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Raymond Wacks, </w:t>
      </w:r>
      <w:r>
        <w:rPr>
          <w:rFonts w:ascii="Times New Roman" w:cs="Times New Roman" w:hAnsi="Times New Roman"/>
          <w:i/>
          <w:iCs/>
        </w:rPr>
        <w:t>Understanding Jurisprudence: An Introduction to Legal Theory</w:t>
      </w:r>
      <w:r>
        <w:rPr>
          <w:rFonts w:ascii="Times New Roman" w:cs="Times New Roman" w:hAnsi="Times New Roman"/>
        </w:rPr>
        <w:t xml:space="preserve"> (7th edn, OUP 2021) 208–209.</w:t>
      </w:r>
    </w:p>
  </w:footnote>
  <w:footnote w:id="422">
    <w:p w14:paraId="0B3668E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423">
    <w:p w14:paraId="1BA3F946">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 Twining, </w:t>
      </w:r>
      <w:r>
        <w:rPr>
          <w:rFonts w:ascii="Times New Roman" w:cs="Times New Roman" w:hAnsi="Times New Roman"/>
          <w:i/>
          <w:iCs/>
        </w:rPr>
        <w:t>Karl Llewellyn and the Realist Movement</w:t>
      </w:r>
      <w:r>
        <w:rPr>
          <w:rFonts w:ascii="Times New Roman" w:cs="Times New Roman" w:hAnsi="Times New Roman"/>
        </w:rPr>
        <w:t xml:space="preserve"> (2nd edn, CUP 2012).</w:t>
      </w:r>
    </w:p>
  </w:footnote>
  <w:footnote w:id="424">
    <w:p w14:paraId="5036AFB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Brian Leiter, </w:t>
      </w:r>
      <w:r>
        <w:rPr>
          <w:rFonts w:ascii="Times New Roman" w:cs="Times New Roman" w:hAnsi="Times New Roman"/>
          <w:i/>
          <w:iCs/>
        </w:rPr>
        <w:t>Naturalizing Jurisprudence</w:t>
      </w:r>
      <w:r>
        <w:rPr>
          <w:rFonts w:ascii="Times New Roman" w:cs="Times New Roman" w:hAnsi="Times New Roman"/>
        </w:rPr>
        <w:t xml:space="preserve"> (OUP 2007).</w:t>
      </w:r>
    </w:p>
  </w:footnote>
  <w:footnote w:id="425">
    <w:p w14:paraId="79E65951">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O W Holmes Jr, ‘Path of the Law’ (1897) 10 </w:t>
      </w:r>
      <w:r>
        <w:rPr>
          <w:rFonts w:ascii="Times New Roman" w:cs="Times New Roman" w:hAnsi="Times New Roman"/>
          <w:i/>
          <w:iCs/>
        </w:rPr>
        <w:t>Harv L Rev</w:t>
      </w:r>
      <w:r>
        <w:rPr>
          <w:rFonts w:ascii="Times New Roman" w:cs="Times New Roman" w:hAnsi="Times New Roman"/>
        </w:rPr>
        <w:t xml:space="preserve"> 457.</w:t>
      </w:r>
    </w:p>
  </w:footnote>
  <w:footnote w:id="426">
    <w:p w14:paraId="7FB7890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Twining (n423)</w:t>
      </w:r>
    </w:p>
  </w:footnote>
  <w:footnote w:id="427">
    <w:p w14:paraId="6B034F26">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Holmes (n 425) 457.</w:t>
      </w:r>
    </w:p>
  </w:footnote>
  <w:footnote w:id="428">
    <w:p w14:paraId="4E3EBC21">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29">
    <w:p w14:paraId="5EDB73EE">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30">
    <w:p w14:paraId="2302E621">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Twining (n 423).</w:t>
      </w:r>
    </w:p>
  </w:footnote>
  <w:footnote w:id="431">
    <w:p w14:paraId="5D134D7C">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 Patrick Glenn, </w:t>
      </w:r>
      <w:r>
        <w:rPr>
          <w:rFonts w:ascii="Times New Roman" w:cs="Times New Roman" w:hAnsi="Times New Roman"/>
          <w:i/>
          <w:iCs/>
        </w:rPr>
        <w:t>Legal Traditions of the World</w:t>
      </w:r>
      <w:r>
        <w:rPr>
          <w:rFonts w:ascii="Times New Roman" w:cs="Times New Roman" w:hAnsi="Times New Roman"/>
        </w:rPr>
        <w:t xml:space="preserve"> (5th edn, OUP 2014).</w:t>
      </w:r>
    </w:p>
  </w:footnote>
  <w:footnote w:id="432">
    <w:p w14:paraId="17B8BB3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33">
    <w:p w14:paraId="2A8C5033">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Brian Leiter, </w:t>
      </w:r>
      <w:r>
        <w:rPr>
          <w:rFonts w:ascii="Times New Roman" w:cs="Times New Roman" w:hAnsi="Times New Roman"/>
          <w:i/>
          <w:iCs/>
        </w:rPr>
        <w:t>Naturalizing Jurisprudence</w:t>
      </w:r>
      <w:r>
        <w:rPr>
          <w:rFonts w:ascii="Times New Roman" w:cs="Times New Roman" w:hAnsi="Times New Roman"/>
        </w:rPr>
        <w:t xml:space="preserve"> (OUP 2007).</w:t>
      </w:r>
    </w:p>
  </w:footnote>
  <w:footnote w:id="434">
    <w:p w14:paraId="0F94D1E7">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Raymond Wacks, </w:t>
      </w:r>
      <w:r>
        <w:rPr>
          <w:rFonts w:ascii="Times New Roman" w:cs="Times New Roman" w:hAnsi="Times New Roman"/>
          <w:i/>
          <w:iCs/>
        </w:rPr>
        <w:t>Understanding Jurisprudence: An Introduction to Legal Theory</w:t>
      </w:r>
      <w:r>
        <w:rPr>
          <w:rFonts w:ascii="Times New Roman" w:cs="Times New Roman" w:hAnsi="Times New Roman"/>
        </w:rPr>
        <w:t xml:space="preserve"> (7th edn, OUP 2021).</w:t>
      </w:r>
    </w:p>
  </w:footnote>
  <w:footnote w:id="435">
    <w:p w14:paraId="759D7D0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36">
    <w:p w14:paraId="535A5E35">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37">
    <w:p w14:paraId="6188F7AA">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38">
    <w:p w14:paraId="6EE54AA4">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Jonathan Herring, </w:t>
      </w:r>
      <w:r>
        <w:rPr>
          <w:rFonts w:ascii="Times New Roman" w:cs="Times New Roman" w:hAnsi="Times New Roman"/>
          <w:i/>
          <w:iCs/>
        </w:rPr>
        <w:t>Family Law</w:t>
      </w:r>
      <w:r>
        <w:rPr>
          <w:rFonts w:ascii="Times New Roman" w:cs="Times New Roman" w:hAnsi="Times New Roman"/>
        </w:rPr>
        <w:t xml:space="preserve"> (10th edn, Pearson 2022).</w:t>
      </w:r>
    </w:p>
  </w:footnote>
  <w:footnote w:id="439">
    <w:p w14:paraId="06C3123F">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40">
    <w:p w14:paraId="69D6DBF7">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Susan Golombok (n 185).</w:t>
      </w:r>
    </w:p>
  </w:footnote>
  <w:footnote w:id="441">
    <w:p w14:paraId="25E905BA">
      <w:pPr>
        <w:pStyle w:val="style29"/>
        <w:snapToGrid w:val="false"/>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CRA 2003, s 1; MCA, Cap M7, LFN 2004, s 71.</w:t>
      </w:r>
    </w:p>
  </w:footnote>
  <w:footnote w:id="442">
    <w:p w14:paraId="77A01B7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43">
    <w:p w14:paraId="550C2D9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Geraldine Van Bueren, </w:t>
      </w:r>
      <w:r>
        <w:rPr>
          <w:rFonts w:ascii="Times New Roman" w:cs="Times New Roman" w:hAnsi="Times New Roman"/>
          <w:i/>
          <w:iCs/>
        </w:rPr>
        <w:t>The International Law on the Rights of the Child</w:t>
      </w:r>
      <w:r>
        <w:rPr>
          <w:rFonts w:ascii="Times New Roman" w:cs="Times New Roman" w:hAnsi="Times New Roman"/>
        </w:rPr>
        <w:t xml:space="preserve"> (Martinus Nijhoff 1998).</w:t>
      </w:r>
    </w:p>
  </w:footnote>
  <w:footnote w:id="444">
    <w:p w14:paraId="5400A6D9">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45">
    <w:p w14:paraId="4090D787">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Joseph Goldstein, Anna Freud and Albert Solnit, </w:t>
      </w:r>
      <w:r>
        <w:rPr>
          <w:rFonts w:ascii="Times New Roman" w:cs="Times New Roman" w:hAnsi="Times New Roman"/>
          <w:i/>
          <w:iCs/>
        </w:rPr>
        <w:t>Beyond the Best Interests of the Child</w:t>
      </w:r>
      <w:r>
        <w:rPr>
          <w:rFonts w:ascii="Times New Roman" w:cs="Times New Roman" w:hAnsi="Times New Roman"/>
        </w:rPr>
        <w:t xml:space="preserve"> (Free Press 1973).</w:t>
      </w:r>
    </w:p>
  </w:footnote>
  <w:footnote w:id="446">
    <w:p w14:paraId="74D6B81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47">
    <w:p w14:paraId="2381CBFB">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n 107).</w:t>
      </w:r>
    </w:p>
  </w:footnote>
  <w:footnote w:id="448">
    <w:p w14:paraId="7B38997D">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Johnson v Calvert (n 107); Golombok (n 185).</w:t>
      </w:r>
    </w:p>
  </w:footnote>
  <w:footnote w:id="449">
    <w:p w14:paraId="195B08A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50">
    <w:p w14:paraId="78A1C71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CFRN 1999 (as amended), s 1.</w:t>
      </w:r>
    </w:p>
  </w:footnote>
  <w:footnote w:id="451">
    <w:p w14:paraId="763280D3">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UDHR 1948, art 16(1); European Convention on Human Rights 1950, Articles 8 and 12; National Conference of Commissioners on Uniform State Laws, Uniform Parentage Act (2017) 1-98; Amel Alghrani and Danielle Griffiths, ‘Surrogacy Regulation in the UK’ (2017) 29(2) CFLQ 165.</w:t>
      </w:r>
    </w:p>
  </w:footnote>
  <w:footnote w:id="452">
    <w:p w14:paraId="4F97D43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CFRN 1999 (as amended), ss 34, 37 and 42.</w:t>
      </w:r>
    </w:p>
  </w:footnote>
  <w:footnote w:id="453">
    <w:p w14:paraId="690CA2D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CFRN 1999 (as amended).</w:t>
      </w:r>
    </w:p>
  </w:footnote>
  <w:footnote w:id="454">
    <w:p w14:paraId="6284B1C3">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55">
    <w:p w14:paraId="0EF06EB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34.</w:t>
      </w:r>
    </w:p>
  </w:footnote>
  <w:footnote w:id="456">
    <w:p w14:paraId="179B359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57">
    <w:p w14:paraId="307922BC">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58">
    <w:p w14:paraId="2C7442D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CFRN 1999, s 42.</w:t>
      </w:r>
    </w:p>
  </w:footnote>
  <w:footnote w:id="459">
    <w:p w14:paraId="0258D2F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Ukeje v Ukeje (n 295).</w:t>
      </w:r>
    </w:p>
  </w:footnote>
  <w:footnote w:id="460">
    <w:p w14:paraId="45D28DF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Mojekwu v Mojekwu (n 294).</w:t>
      </w:r>
    </w:p>
  </w:footnote>
  <w:footnote w:id="461">
    <w:p w14:paraId="0E9F405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JS Glazebrook, ‘Custom and the Constitution’ SSRN &lt;https://papers.ssrn.com/sol3/papers.cfm?abstract_id=4659049&gt; accessed 26 April 2026.</w:t>
      </w:r>
    </w:p>
  </w:footnote>
  <w:footnote w:id="462">
    <w:p w14:paraId="54D8B7B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Anozia v Patricia Nnani&amp;Anor (n 112).</w:t>
      </w:r>
    </w:p>
  </w:footnote>
  <w:footnote w:id="463">
    <w:p w14:paraId="0AA4C00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CFRN 1999 (as amended), ss 34, 37 and 42.</w:t>
      </w:r>
    </w:p>
  </w:footnote>
  <w:footnote w:id="464">
    <w:p w14:paraId="507EDE5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CRA 2003, Cap C50 LFN 2004.</w:t>
      </w:r>
    </w:p>
  </w:footnote>
  <w:footnote w:id="465">
    <w:p w14:paraId="05B5AA0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Regardless of whether it is carried out by governmental or non-governmental entities, judicial bodies, regulatory agencies, or legislative bodies.</w:t>
      </w:r>
    </w:p>
  </w:footnote>
  <w:footnote w:id="466">
    <w:p w14:paraId="3657276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CRA 2003, Cap C50 LFN 2004, s 3.</w:t>
      </w:r>
    </w:p>
  </w:footnote>
  <w:footnote w:id="467">
    <w:p w14:paraId="4D40F05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4.</w:t>
      </w:r>
    </w:p>
  </w:footnote>
  <w:footnote w:id="468">
    <w:p w14:paraId="26D2D950">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5.</w:t>
      </w:r>
    </w:p>
  </w:footnote>
  <w:footnote w:id="469">
    <w:p w14:paraId="41B926A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8.</w:t>
      </w:r>
    </w:p>
  </w:footnote>
  <w:footnote w:id="470">
    <w:p w14:paraId="525128C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1.</w:t>
      </w:r>
    </w:p>
  </w:footnote>
  <w:footnote w:id="471">
    <w:p w14:paraId="2B811682">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Williams v Williams (n 117).</w:t>
      </w:r>
    </w:p>
  </w:footnote>
  <w:footnote w:id="472">
    <w:p w14:paraId="4FDB60B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CRA 2003, Cap C50 LFN 2004, ss 4, 5 and 8.</w:t>
      </w:r>
    </w:p>
  </w:footnote>
  <w:footnote w:id="473">
    <w:p w14:paraId="1077F40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MCA, Cap M7 LFN 2004.</w:t>
      </w:r>
    </w:p>
  </w:footnote>
  <w:footnote w:id="474">
    <w:p w14:paraId="5758FBD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75">
    <w:p w14:paraId="1B0BF5B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[2014]EWHC3135(Fam).</w:t>
      </w:r>
    </w:p>
  </w:footnote>
  <w:footnote w:id="476">
    <w:p w14:paraId="4B10C4F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Evidence Act 2011, s 165.</w:t>
      </w:r>
    </w:p>
  </w:footnote>
  <w:footnote w:id="477">
    <w:p w14:paraId="3DD1FC2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Anozia v Patricia Nnani&amp;Anor (n 112).</w:t>
      </w:r>
    </w:p>
  </w:footnote>
  <w:footnote w:id="478">
    <w:p w14:paraId="2C6F67F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79">
    <w:p w14:paraId="5486AFFA">
      <w:pPr>
        <w:pStyle w:val="style29"/>
        <w:snapToGrid w:val="false"/>
        <w:rPr>
          <w:lang w:val="en-US"/>
        </w:rPr>
      </w:pPr>
      <w:r>
        <w:rPr>
          <w:rStyle w:val="style38"/>
        </w:rPr>
        <w:footnoteRef/>
      </w:r>
      <w:r>
        <w:rPr>
          <w:rFonts w:ascii="Times New Roman" w:cs="Times New Roman" w:hAnsi="Times New Roman"/>
        </w:rPr>
        <w:t xml:space="preserve"> Evidence Act 2011, s 165.</w:t>
      </w:r>
    </w:p>
  </w:footnote>
  <w:footnote w:id="480">
    <w:p w14:paraId="5E3A1AE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NHA 2014, s1.</w:t>
      </w:r>
    </w:p>
  </w:footnote>
  <w:footnote w:id="481">
    <w:p w14:paraId="66F779E1">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482">
    <w:p w14:paraId="478694B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Births and Deaths Registration Act, Cap B9 LFN 2004, s 15.</w:t>
      </w:r>
    </w:p>
  </w:footnote>
  <w:footnote w:id="483">
    <w:p w14:paraId="13446F7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NIMC, organisational mandate &lt;https://nimc.gov.ng/about-nimc&gt; accessed 25 April 2026.</w:t>
      </w:r>
    </w:p>
  </w:footnote>
  <w:footnote w:id="484">
    <w:p w14:paraId="3775B88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85">
    <w:p w14:paraId="20285C6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Ukeje v Ukeje (n 295).</w:t>
      </w:r>
    </w:p>
  </w:footnote>
  <w:footnote w:id="486">
    <w:p w14:paraId="1180521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487">
    <w:p w14:paraId="22E4413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88">
    <w:p w14:paraId="5258DB80">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Oladunjoye, ‘Surrogacy: Absence of Laws Spurs Unethical Pract. in Nig.’ (n 156).</w:t>
      </w:r>
    </w:p>
  </w:footnote>
  <w:footnote w:id="489">
    <w:p w14:paraId="2EC5E89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UN, CRC &lt;https://www.ohchr.org/en/instruments-mechanisms/instruments/convention-rights-child&gt; accessed 26 April 2026.</w:t>
      </w:r>
    </w:p>
  </w:footnote>
  <w:footnote w:id="490">
    <w:p w14:paraId="783DB64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91">
    <w:p w14:paraId="364B827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ACRWC 1990, Art 21.</w:t>
      </w:r>
    </w:p>
  </w:footnote>
  <w:footnote w:id="492">
    <w:p w14:paraId="5C4287E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UDHR 1948, Art 25.</w:t>
      </w:r>
    </w:p>
  </w:footnote>
  <w:footnote w:id="493">
    <w:p w14:paraId="1BEA4DF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FRN (n 365).</w:t>
      </w:r>
    </w:p>
  </w:footnote>
  <w:footnote w:id="494">
    <w:p w14:paraId="75EFC5D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495">
    <w:p w14:paraId="48E9D76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496">
    <w:p w14:paraId="5AA1450E">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E Blyth and W Kramer, ‘Anonymous or Identity-Release Sperm Donors’ [2013] (31)(1) </w:t>
      </w:r>
      <w:r>
        <w:rPr>
          <w:rFonts w:ascii="Times New Roman" w:cs="Times New Roman" w:hAnsi="Times New Roman"/>
          <w:i/>
          <w:iCs/>
        </w:rPr>
        <w:t>FSH</w:t>
      </w:r>
      <w:r>
        <w:rPr>
          <w:rFonts w:ascii="Times New Roman" w:cs="Times New Roman" w:hAnsi="Times New Roman"/>
        </w:rPr>
        <w:t xml:space="preserve"> 10-24.</w:t>
      </w:r>
    </w:p>
  </w:footnote>
  <w:footnote w:id="497">
    <w:p w14:paraId="08A38624">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w:t>
      </w:r>
    </w:p>
  </w:footnote>
  <w:footnote w:id="498">
    <w:p w14:paraId="739BE74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499">
    <w:p w14:paraId="279486A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00">
    <w:p w14:paraId="40A52BE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01">
    <w:p w14:paraId="5BD4C45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502">
    <w:p w14:paraId="6ECD99E6">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503">
    <w:p w14:paraId="168578D5">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Alex Finkelstein and others, Surrogacy Law and Policy in the U.S.: A National Conversation Informed by Global Lawmaking (</w:t>
      </w:r>
      <w:r>
        <w:rPr>
          <w:rFonts w:ascii="Times New Roman" w:cs="Times New Roman" w:hAnsi="Times New Roman"/>
          <w:i/>
          <w:iCs/>
        </w:rPr>
        <w:t>Columbia Law School Sexuality and Gender Law Clinic</w:t>
      </w:r>
      <w:r>
        <w:rPr>
          <w:rFonts w:ascii="Times New Roman" w:cs="Times New Roman" w:hAnsi="Times New Roman"/>
        </w:rPr>
        <w:t xml:space="preserve"> 2016).</w:t>
      </w:r>
    </w:p>
  </w:footnote>
  <w:footnote w:id="504">
    <w:p w14:paraId="1B68FFA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Anne Donchin, ‘Reproductive Tourism and Gender Justice’ [2010](24)(7) </w:t>
      </w:r>
      <w:r>
        <w:rPr>
          <w:rFonts w:ascii="Times New Roman" w:cs="Times New Roman" w:hAnsi="Times New Roman"/>
          <w:i/>
        </w:rPr>
        <w:t>Bioethics</w:t>
      </w:r>
      <w:r>
        <w:rPr>
          <w:rFonts w:ascii="Times New Roman" w:cs="Times New Roman" w:hAnsi="Times New Roman"/>
        </w:rPr>
        <w:t xml:space="preserve"> 323–332.</w:t>
      </w:r>
    </w:p>
  </w:footnote>
  <w:footnote w:id="505">
    <w:p w14:paraId="1CA7D338">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K M Perkins, S L Bouletand others, ‘Gestational Surrogacy in the US’ [2016](106)(2) </w:t>
      </w:r>
      <w:r>
        <w:rPr>
          <w:rFonts w:ascii="Times New Roman" w:cs="Times New Roman" w:hAnsi="Times New Roman"/>
          <w:i/>
          <w:iCs/>
        </w:rPr>
        <w:t>F&amp;S</w:t>
      </w:r>
      <w:r>
        <w:rPr>
          <w:rFonts w:ascii="Times New Roman" w:cs="Times New Roman" w:hAnsi="Times New Roman"/>
        </w:rPr>
        <w:t xml:space="preserve"> 435–442.e2 &lt;https://doi.org/10.1016/j.fertnstert.2016.03.050&gt; accessed 27 April 2026.</w:t>
      </w:r>
    </w:p>
  </w:footnote>
  <w:footnote w:id="506">
    <w:p w14:paraId="611945D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507">
    <w:p w14:paraId="61B9EF1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UNICEF</w:t>
      </w:r>
      <w:r>
        <w:rPr>
          <w:rFonts w:ascii="Times New Roman" w:cs="Times New Roman" w:hAnsi="Times New Roman"/>
        </w:rPr>
        <w:t>, ‘Children Born of Surrogacy’(</w:t>
      </w:r>
      <w:r>
        <w:rPr>
          <w:rFonts w:ascii="Times New Roman" w:cs="Times New Roman" w:hAnsi="Times New Roman"/>
          <w:i/>
          <w:iCs/>
        </w:rPr>
        <w:t>UNICEF</w:t>
      </w:r>
      <w:r>
        <w:rPr>
          <w:rFonts w:ascii="Times New Roman" w:cs="Times New Roman" w:hAnsi="Times New Roman"/>
        </w:rPr>
        <w:t xml:space="preserve"> 2024).&lt;https://www.unicef.org/lac/media/53856/file/Children%20Born%20of%20Surrogacy%20-%20EN%20-%20WEB.pdf&gt;accessed 27 April 2026.</w:t>
      </w:r>
    </w:p>
  </w:footnote>
  <w:footnote w:id="508">
    <w:p w14:paraId="1F0A9AE9">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509">
    <w:p w14:paraId="54EA37A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Evidence Act 2011.</w:t>
      </w:r>
    </w:p>
  </w:footnote>
  <w:footnote w:id="510">
    <w:p w14:paraId="7009D16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511">
    <w:p w14:paraId="649C4C2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12">
    <w:p w14:paraId="40C94B1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Children’s Act 38 of 2005 (South Africa), Chapter 19, ss 292–303.</w:t>
      </w:r>
    </w:p>
  </w:footnote>
  <w:footnote w:id="513">
    <w:p w14:paraId="6D42095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Olusegun Olaitan Oluwaseyi and Olatawura Oladimeji, ‘Surrogacy Agreements and Children’s Rights’ [2021] 42(1) </w:t>
      </w:r>
      <w:r>
        <w:rPr>
          <w:rFonts w:ascii="Times New Roman" w:cs="Times New Roman" w:hAnsi="Times New Roman"/>
          <w:i/>
          <w:iCs/>
        </w:rPr>
        <w:t>Obiter</w:t>
      </w:r>
      <w:r>
        <w:rPr>
          <w:rFonts w:ascii="Times New Roman" w:cs="Times New Roman" w:hAnsi="Times New Roman"/>
        </w:rPr>
        <w:t xml:space="preserve"> 20 &lt;https://doi.org/10.17159/obiter.v42i1.11054&gt; accessed 24 April 2026.</w:t>
      </w:r>
    </w:p>
  </w:footnote>
  <w:footnote w:id="514">
    <w:p w14:paraId="307CC053">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Children’s Act(n512), s293.</w:t>
      </w:r>
    </w:p>
  </w:footnote>
  <w:footnote w:id="515">
    <w:p w14:paraId="7A5CBF0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294.</w:t>
      </w:r>
    </w:p>
  </w:footnote>
  <w:footnote w:id="516">
    <w:p w14:paraId="19F3AF8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303.</w:t>
      </w:r>
    </w:p>
  </w:footnote>
  <w:footnote w:id="517">
    <w:p w14:paraId="47DC02F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Oluwaseyi and Oladimeji (n 513).</w:t>
      </w:r>
    </w:p>
  </w:footnote>
  <w:footnote w:id="518">
    <w:p w14:paraId="08865689">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519">
    <w:p w14:paraId="04D3D264">
      <w:pPr>
        <w:pStyle w:val="style29"/>
        <w:snapToGrid w:val="false"/>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Abiade (n 5) 192.</w:t>
      </w:r>
    </w:p>
  </w:footnote>
  <w:footnote w:id="520">
    <w:p w14:paraId="716A367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Children’s Act(n512), ss 292, 295, 296 and 301.</w:t>
      </w:r>
    </w:p>
  </w:footnote>
  <w:footnote w:id="521">
    <w:p w14:paraId="59ECF74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522">
    <w:p w14:paraId="2BF6BB6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Oluwaseyi and Oladimeji (n 513) 23.</w:t>
      </w:r>
    </w:p>
  </w:footnote>
  <w:footnote w:id="523">
    <w:p w14:paraId="02428F0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524">
    <w:p w14:paraId="06A7CB3F">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Lawrence J Walker and Michael W Pitts, </w:t>
      </w:r>
      <w:r>
        <w:rPr>
          <w:rFonts w:ascii="Times New Roman" w:cs="Times New Roman" w:hAnsi="Times New Roman"/>
          <w:i/>
          <w:iCs/>
        </w:rPr>
        <w:t>Psychology of Parenthood</w:t>
      </w:r>
      <w:r>
        <w:rPr>
          <w:rFonts w:ascii="Times New Roman" w:cs="Times New Roman" w:hAnsi="Times New Roman"/>
        </w:rPr>
        <w:t xml:space="preserve"> cited in Abiade Olawanle Abiola, </w:t>
      </w:r>
      <w:r>
        <w:rPr>
          <w:rFonts w:ascii="Times New Roman" w:cs="Times New Roman" w:hAnsi="Times New Roman"/>
          <w:i/>
          <w:iCs/>
        </w:rPr>
        <w:t>Surrogacy Practice</w:t>
      </w:r>
      <w:r>
        <w:rPr>
          <w:rFonts w:ascii="Times New Roman" w:cs="Times New Roman" w:hAnsi="Times New Roman"/>
        </w:rPr>
        <w:t xml:space="preserve"> (Princeton &amp; Associates, 1st edn 2024) 32.</w:t>
      </w:r>
    </w:p>
  </w:footnote>
  <w:footnote w:id="525">
    <w:p w14:paraId="1620CF4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OJ Alabi, ‘Yoruba Perceptions of Surrogacy’ [2021](9) (103) </w:t>
      </w:r>
      <w:r>
        <w:rPr>
          <w:rFonts w:ascii="Times New Roman" w:cs="Times New Roman" w:hAnsi="Times New Roman"/>
          <w:i/>
        </w:rPr>
        <w:t>F1000</w:t>
      </w:r>
      <w:r>
        <w:rPr>
          <w:rFonts w:ascii="Times New Roman" w:cs="Times New Roman" w:hAnsi="Times New Roman"/>
        </w:rPr>
        <w:t xml:space="preserve"> </w:t>
      </w:r>
      <w:r>
        <w:rPr>
          <w:rFonts w:ascii="Times New Roman" w:cs="Times New Roman" w:hAnsi="Times New Roman"/>
          <w:i/>
        </w:rPr>
        <w:t xml:space="preserve">Research </w:t>
      </w:r>
      <w:r>
        <w:rPr>
          <w:rFonts w:ascii="Times New Roman" w:cs="Times New Roman" w:hAnsi="Times New Roman"/>
        </w:rPr>
        <w:t>&lt;https://pmc.ncbi.nlm.nih.gov/articles/PMC7921890/&gt; accessed 24 April 2026.</w:t>
      </w:r>
    </w:p>
  </w:footnote>
  <w:footnote w:id="526">
    <w:p w14:paraId="6E501D97">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27">
    <w:p w14:paraId="50A64599">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OJ Alabi, ‘Baby Factories in Nigeria’ [2018](8)(2) </w:t>
      </w:r>
      <w:r>
        <w:rPr>
          <w:rFonts w:ascii="Times New Roman" w:cs="Times New Roman" w:hAnsi="Times New Roman"/>
          <w:i/>
          <w:iCs/>
        </w:rPr>
        <w:t>SAGE Open</w:t>
      </w:r>
      <w:r>
        <w:rPr>
          <w:rFonts w:ascii="Times New Roman" w:cs="Times New Roman" w:hAnsi="Times New Roman"/>
        </w:rPr>
        <w:t xml:space="preserve"> art 2158244018779115.</w:t>
      </w:r>
    </w:p>
  </w:footnote>
  <w:footnote w:id="528">
    <w:p w14:paraId="529A26F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Oluwaseyi and Oladimeji (n 513) 25.</w:t>
      </w:r>
    </w:p>
  </w:footnote>
  <w:footnote w:id="529">
    <w:p w14:paraId="5C2D769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Daniel Berkowitz, Katharina Pistor and Jean-Francois Richard, ‘Transplant Effect’ [2003] 51(1) </w:t>
      </w:r>
      <w:r>
        <w:rPr>
          <w:rFonts w:ascii="Times New Roman" w:cs="Times New Roman" w:hAnsi="Times New Roman"/>
          <w:i/>
          <w:iCs/>
        </w:rPr>
        <w:t>AJCL</w:t>
      </w:r>
      <w:r>
        <w:rPr>
          <w:rFonts w:ascii="Times New Roman" w:cs="Times New Roman" w:hAnsi="Times New Roman"/>
        </w:rPr>
        <w:t xml:space="preserve"> 163–204 &lt;https://doi.org/10.2307/3649143&gt; accessed 25 April 2026; T T Arvind, ‘Transplant Effect in Harmonisation’ [2010] (59) (1) </w:t>
      </w:r>
      <w:r>
        <w:rPr>
          <w:rFonts w:ascii="Times New Roman" w:cs="Times New Roman" w:hAnsi="Times New Roman"/>
          <w:i/>
          <w:iCs/>
        </w:rPr>
        <w:t>ICLQ</w:t>
      </w:r>
      <w:r>
        <w:rPr>
          <w:rFonts w:ascii="Times New Roman" w:cs="Times New Roman" w:hAnsi="Times New Roman"/>
        </w:rPr>
        <w:t xml:space="preserve"> 65–88.</w:t>
      </w:r>
    </w:p>
  </w:footnote>
  <w:footnote w:id="530">
    <w:p w14:paraId="1BA3E9E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Maurice Ogugua AjaNwachuku, ‘Concept of Childhood in Nig.’ [2016] (7) (2) </w:t>
      </w:r>
      <w:r>
        <w:rPr>
          <w:rFonts w:ascii="Times New Roman" w:cs="Times New Roman" w:hAnsi="Times New Roman"/>
          <w:i/>
          <w:iCs/>
        </w:rPr>
        <w:t>BLR</w:t>
      </w:r>
      <w:r>
        <w:rPr>
          <w:rFonts w:ascii="Times New Roman" w:cs="Times New Roman" w:hAnsi="Times New Roman"/>
        </w:rPr>
        <w:t xml:space="preserve"> 122–126 &lt;https://doi.org/10.4236/blr.2016.72013&gt; accessed 27 April 2026.</w:t>
      </w:r>
    </w:p>
  </w:footnote>
  <w:footnote w:id="531">
    <w:p w14:paraId="367FD9C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32">
    <w:p w14:paraId="3A6DC51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House of Representatives</w:t>
      </w:r>
      <w:r>
        <w:rPr>
          <w:rFonts w:ascii="Times New Roman" w:cs="Times New Roman" w:hAnsi="Times New Roman"/>
        </w:rPr>
        <w:t xml:space="preserve"> (n 365).</w:t>
      </w:r>
    </w:p>
  </w:footnote>
  <w:footnote w:id="533">
    <w:p w14:paraId="50A8239A">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G Olawale, Lagos introduces measures to sanitise fertility practice’ </w:t>
      </w:r>
      <w:r>
        <w:rPr>
          <w:rFonts w:ascii="Times New Roman" w:cs="Times New Roman" w:hAnsi="Times New Roman"/>
          <w:i/>
          <w:iCs/>
        </w:rPr>
        <w:t>Vanguard</w:t>
      </w:r>
      <w:r>
        <w:rPr>
          <w:rFonts w:ascii="Times New Roman" w:cs="Times New Roman" w:hAnsi="Times New Roman"/>
        </w:rPr>
        <w:t xml:space="preserve"> [14 May 2019] &lt;https://www.vanguardngr.com/2019/05/lagos-introduces-measures-to-sanitise-fertility-practice/&gt; accessed 23 April 2026.</w:t>
      </w:r>
    </w:p>
  </w:footnote>
  <w:footnote w:id="534">
    <w:p w14:paraId="025F48D9">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Oladunjoye (n 156).</w:t>
      </w:r>
    </w:p>
  </w:footnote>
  <w:footnote w:id="535">
    <w:p w14:paraId="42760803">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MDCN ‘our role’ &lt;https://www.mdcn.gov.ng/our-role&gt; accessed 26 April 2026.</w:t>
      </w:r>
    </w:p>
  </w:footnote>
  <w:footnote w:id="536">
    <w:p w14:paraId="5DB01D4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37">
    <w:p w14:paraId="1540339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NHREC, ‘welcome’ &lt;https://healthresearchwebafrica.org.za/en/nigeria_nhrec/start&gt; accessed 22 April 2026.</w:t>
      </w:r>
    </w:p>
  </w:footnote>
  <w:footnote w:id="538">
    <w:p w14:paraId="4343C70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39">
    <w:p w14:paraId="2A858AF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40">
    <w:p w14:paraId="50431E4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41">
    <w:p w14:paraId="28F16A0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National Population Commissions Act Cap N67 LFN 2004.</w:t>
      </w:r>
    </w:p>
  </w:footnote>
  <w:footnote w:id="542">
    <w:p w14:paraId="7EB75ED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43">
    <w:p w14:paraId="452661A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NIMC, ‘functions and powers’ &lt;https://nimc.gov.ng/about-nimc&gt; accessed 20 April 2026.</w:t>
      </w:r>
    </w:p>
  </w:footnote>
  <w:footnote w:id="544">
    <w:p w14:paraId="3BB19B2B">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Abiade (n 5)194-195.</w:t>
      </w:r>
    </w:p>
  </w:footnote>
  <w:footnote w:id="545">
    <w:p w14:paraId="4B1044AA">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Williams v Williams (n 117).</w:t>
      </w:r>
    </w:p>
  </w:footnote>
  <w:footnote w:id="546">
    <w:p w14:paraId="4335102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Ukeje v Ukeje (n 295).</w:t>
      </w:r>
    </w:p>
  </w:footnote>
  <w:footnote w:id="547">
    <w:p w14:paraId="55CC56F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Mojekwu v Mojekwu (n 294).</w:t>
      </w:r>
    </w:p>
  </w:footnote>
  <w:footnote w:id="548">
    <w:p w14:paraId="3ADBE22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Anozia v Patricia Nnani&amp;Anor (n 112).</w:t>
      </w:r>
    </w:p>
  </w:footnote>
  <w:footnote w:id="549">
    <w:p w14:paraId="7D4812E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UNCRC(n 489).</w:t>
      </w:r>
    </w:p>
  </w:footnote>
  <w:footnote w:id="550">
    <w:p w14:paraId="4D21AA4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UNICEF</w:t>
      </w:r>
      <w:r>
        <w:rPr>
          <w:rFonts w:ascii="Times New Roman" w:cs="Times New Roman" w:hAnsi="Times New Roman"/>
        </w:rPr>
        <w:t>, ‘CRC’ &lt;https://www.unicef.org/child-rights-convention&gt; accessed 20 April 2026.</w:t>
      </w:r>
    </w:p>
  </w:footnote>
  <w:footnote w:id="551">
    <w:p w14:paraId="00DA720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UN, CRC (n 489).</w:t>
      </w:r>
    </w:p>
  </w:footnote>
  <w:footnote w:id="552">
    <w:p w14:paraId="110DEE6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AU, ‘African Charter on the rights and welfare of the Child’ &lt;https://au.int/sites/default/files/treaties/36804-treaty-african_charter_on_rights_welfare_of_the_child.pdf&gt; accessed 22 April 2026.</w:t>
      </w:r>
    </w:p>
  </w:footnote>
  <w:footnote w:id="553">
    <w:p w14:paraId="63FCACC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54">
    <w:p w14:paraId="73CE461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AU, ‘African Charter on Human and Peoples' Rights’ &lt;https://au.int/en/treaties/african-charter-human-and-peoples-rights&gt; accessed 24 April 2026.</w:t>
      </w:r>
    </w:p>
  </w:footnote>
  <w:footnote w:id="555">
    <w:p w14:paraId="3CEA782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i/>
          <w:iCs/>
        </w:rPr>
        <w:t>WHO</w:t>
      </w:r>
      <w:r>
        <w:rPr>
          <w:rFonts w:ascii="Times New Roman" w:cs="Times New Roman" w:hAnsi="Times New Roman"/>
        </w:rPr>
        <w:t xml:space="preserve"> (n 218).</w:t>
      </w:r>
    </w:p>
  </w:footnote>
  <w:footnote w:id="556">
    <w:p w14:paraId="7DCC9D19">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 45.</w:t>
      </w:r>
    </w:p>
  </w:footnote>
  <w:footnote w:id="557">
    <w:p w14:paraId="12C9947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Chijioke Collins Ani and Onyinye Hope Chime, ‘The Presumption of Legitimacy Under Section 165 of the Evidence Act and Its Inadequacies in the Determination of Legitimacy Status/Paternity of a Child: A Call for the Adoption of Genetic Testing (DNA Test) as a Preferable and Conclusive Proof of Paternity’ [2021] (111) </w:t>
      </w:r>
      <w:r>
        <w:rPr>
          <w:rFonts w:ascii="Times New Roman" w:cs="Times New Roman" w:hAnsi="Times New Roman"/>
          <w:i/>
          <w:iCs/>
        </w:rPr>
        <w:t>JLPG</w:t>
      </w:r>
      <w:r>
        <w:rPr>
          <w:rFonts w:ascii="Times New Roman" w:cs="Times New Roman" w:hAnsi="Times New Roman"/>
        </w:rPr>
        <w:t xml:space="preserve"> 73 &lt;https://doi.org/10.7176/</w:t>
      </w:r>
      <w:r>
        <w:rPr>
          <w:rFonts w:ascii="Times New Roman" w:cs="Times New Roman" w:hAnsi="Times New Roman"/>
          <w:i/>
          <w:iCs/>
        </w:rPr>
        <w:t>JLPG</w:t>
      </w:r>
      <w:r>
        <w:rPr>
          <w:rFonts w:ascii="Times New Roman" w:cs="Times New Roman" w:hAnsi="Times New Roman"/>
        </w:rPr>
        <w:t>/111-08&gt;accessed 27 April 2026.</w:t>
      </w:r>
    </w:p>
  </w:footnote>
  <w:footnote w:id="558">
    <w:p w14:paraId="70454A5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Dafni Lima (n 67).</w:t>
      </w:r>
    </w:p>
  </w:footnote>
  <w:footnote w:id="559">
    <w:p w14:paraId="25CDCE1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Alice Margaria (n 72).</w:t>
      </w:r>
    </w:p>
  </w:footnote>
  <w:footnote w:id="560">
    <w:p w14:paraId="770D5D3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Williams v Williams (n 117).</w:t>
      </w:r>
    </w:p>
  </w:footnote>
  <w:footnote w:id="561">
    <w:p w14:paraId="31C29F0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562">
    <w:p w14:paraId="2DB131A9">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Afolabi Saka Adebayo and others, ‘Legitimacy and Legitimation in Nigeria’ [2023] (3)(2) </w:t>
      </w:r>
      <w:r>
        <w:rPr>
          <w:rFonts w:ascii="Times New Roman" w:cs="Times New Roman" w:hAnsi="Times New Roman"/>
          <w:i/>
        </w:rPr>
        <w:t>JARMS</w:t>
      </w:r>
      <w:r>
        <w:rPr>
          <w:rFonts w:ascii="Times New Roman" w:cs="Times New Roman" w:hAnsi="Times New Roman"/>
        </w:rPr>
        <w:t xml:space="preserve"> 58 – 68 &lt;https://doi.org/10.52589/JARMS-1RDNP5YU&gt; accessed 27 April 2026.</w:t>
      </w:r>
    </w:p>
  </w:footnote>
  <w:footnote w:id="563">
    <w:p w14:paraId="227F5839">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Chijioke Collins Ani (n 557).</w:t>
      </w:r>
    </w:p>
  </w:footnote>
  <w:footnote w:id="564">
    <w:p w14:paraId="0A95376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Jessica Tueller, ‘Parentage, Genetics and Surrogacy’ (2025) 59(3) </w:t>
      </w:r>
      <w:r>
        <w:rPr>
          <w:rFonts w:ascii="Times New Roman" w:cs="Times New Roman" w:hAnsi="Times New Roman"/>
          <w:i/>
          <w:iCs/>
        </w:rPr>
        <w:t>Ga L Rev</w:t>
      </w:r>
      <w:r>
        <w:rPr>
          <w:rFonts w:ascii="Times New Roman" w:cs="Times New Roman" w:hAnsi="Times New Roman"/>
        </w:rPr>
        <w:t xml:space="preserve"> 779–850 &lt;https://georgialawreview.org/wp-content/uploads/2025/07/Jessica-Tueller_On-Parentage-Genetics-and-Surrogacy.pdf&gt; accessed 27 April 2026.</w:t>
      </w:r>
    </w:p>
  </w:footnote>
  <w:footnote w:id="565">
    <w:p w14:paraId="6A69E13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Elaine O’Callaghan (n 70).</w:t>
      </w:r>
    </w:p>
  </w:footnote>
  <w:footnote w:id="566">
    <w:p w14:paraId="6752B59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Anozia v Patricia Nnani&amp;Anor (n 112).</w:t>
      </w:r>
    </w:p>
  </w:footnote>
  <w:footnote w:id="567">
    <w:p w14:paraId="1CD84953">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Adebayo and others (n 562).</w:t>
      </w:r>
    </w:p>
  </w:footnote>
  <w:footnote w:id="568">
    <w:p w14:paraId="71E0A2C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Tueller (n 564).</w:t>
      </w:r>
    </w:p>
  </w:footnote>
  <w:footnote w:id="569">
    <w:p w14:paraId="08DDD500">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Dafni Lima (n 67).</w:t>
      </w:r>
    </w:p>
  </w:footnote>
  <w:footnote w:id="570">
    <w:p w14:paraId="6710E47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Chijioke Collins Ani (n 557).</w:t>
      </w:r>
    </w:p>
  </w:footnote>
  <w:footnote w:id="571">
    <w:p w14:paraId="36BA998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572">
    <w:p w14:paraId="04494E5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 Dania, ‘Court Orders DNA Test in Mohbad Case’ </w:t>
      </w:r>
      <w:r>
        <w:rPr>
          <w:rFonts w:ascii="Times New Roman" w:cs="Times New Roman" w:hAnsi="Times New Roman"/>
          <w:i/>
          <w:iCs/>
        </w:rPr>
        <w:t>Punch</w:t>
      </w:r>
      <w:r>
        <w:rPr>
          <w:rFonts w:ascii="Times New Roman" w:cs="Times New Roman" w:hAnsi="Times New Roman"/>
        </w:rPr>
        <w:t xml:space="preserve"> [2 September 2025] &lt;https://punchng.com/court-orders-dna-tests-to-confirm-paternity-of-mohbads-son/&gt; accessed 25 April 2026.</w:t>
      </w:r>
    </w:p>
  </w:footnote>
  <w:footnote w:id="573">
    <w:p w14:paraId="30DEE4E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Re X (A Child) (Surrogacy: Time Limit) [2014] EWHC 3135 (Fam).</w:t>
      </w:r>
    </w:p>
  </w:footnote>
  <w:footnote w:id="574">
    <w:p w14:paraId="7D1CB47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575">
    <w:p w14:paraId="2A25D2B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Elizabeth Chloe Romanis and Alan Brown, ‘Legal Parenthood and Reproductive Biosex’ [2025] 88(1) </w:t>
      </w:r>
      <w:r>
        <w:rPr>
          <w:rFonts w:ascii="Times New Roman" w:cs="Times New Roman" w:hAnsi="Times New Roman"/>
          <w:i/>
          <w:iCs/>
        </w:rPr>
        <w:t>MLR</w:t>
      </w:r>
      <w:r>
        <w:rPr>
          <w:rFonts w:ascii="Times New Roman" w:cs="Times New Roman" w:hAnsi="Times New Roman"/>
        </w:rPr>
        <w:t xml:space="preserve"> 155–191 &lt;https://doi.org/10.1111/1468-2230.12914&gt; accessed 27 April 2026.</w:t>
      </w:r>
    </w:p>
  </w:footnote>
  <w:footnote w:id="576">
    <w:p w14:paraId="7C7918C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577">
    <w:p w14:paraId="58E4B54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Re X (A Child) (Surrogacy: Time Limit) [2014] EWHC 3135 (Fam).</w:t>
      </w:r>
    </w:p>
  </w:footnote>
  <w:footnote w:id="578">
    <w:p w14:paraId="4D18B27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Commencement of the legislative process to enact the Women’s Health and Surrogacy Protection Bill, 2025 into law; </w:t>
      </w:r>
      <w:r>
        <w:rPr>
          <w:rFonts w:ascii="Times New Roman" w:cs="Times New Roman" w:hAnsi="Times New Roman"/>
          <w:i/>
          <w:iCs/>
        </w:rPr>
        <w:t>House of Representatives</w:t>
      </w:r>
      <w:r>
        <w:rPr>
          <w:rFonts w:ascii="Times New Roman" w:cs="Times New Roman" w:hAnsi="Times New Roman"/>
        </w:rPr>
        <w:t xml:space="preserve"> (n 578).</w:t>
      </w:r>
    </w:p>
  </w:footnote>
  <w:footnote w:id="579">
    <w:p w14:paraId="47A7D78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Births and Deaths Registration Act, Cap B9, LFN 2004, s 1.</w:t>
      </w:r>
    </w:p>
  </w:footnote>
  <w:footnote w:id="580">
    <w:p w14:paraId="3A605FB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 s 12.</w:t>
      </w:r>
    </w:p>
  </w:footnote>
  <w:footnote w:id="581">
    <w:p w14:paraId="325E129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Ezenwa and others (n 73).</w:t>
      </w:r>
    </w:p>
  </w:footnote>
  <w:footnote w:id="582">
    <w:p w14:paraId="284F415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Alice Margaria (n 72).</w:t>
      </w:r>
    </w:p>
  </w:footnote>
  <w:footnote w:id="583">
    <w:p w14:paraId="27170973">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CFRN 1999 (as amended), s 25.</w:t>
      </w:r>
    </w:p>
  </w:footnote>
  <w:footnote w:id="584">
    <w:p w14:paraId="434E6B3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Ukeje v Ukeje (n 295).</w:t>
      </w:r>
    </w:p>
  </w:footnote>
  <w:footnote w:id="585">
    <w:p w14:paraId="065AAE4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HCCH, ‘Parentage/Surrogacy Project’ &lt;https://www.hcch.net/en/projects/legislative-projects/parentage-surrogacy&gt; accessed 26 April 2026.</w:t>
      </w:r>
    </w:p>
  </w:footnote>
  <w:footnote w:id="586">
    <w:p w14:paraId="0077339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Ibid.</w:t>
      </w:r>
    </w:p>
  </w:footnote>
  <w:footnote w:id="587">
    <w:p w14:paraId="5C8D1AAC">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CRA 2003, s 1.</w:t>
      </w:r>
    </w:p>
  </w:footnote>
  <w:footnote w:id="588">
    <w:p w14:paraId="69F26B7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Romanis and Alan Brown (n 575).</w:t>
      </w:r>
    </w:p>
  </w:footnote>
  <w:footnote w:id="589">
    <w:p w14:paraId="4E97E85E">
      <w:pPr>
        <w:pStyle w:val="style29"/>
        <w:rPr>
          <w:lang w:val="en-US"/>
        </w:rPr>
      </w:pPr>
      <w:r>
        <w:rPr>
          <w:rStyle w:val="style38"/>
        </w:rPr>
        <w:footnoteRef/>
      </w:r>
      <w:r>
        <w:rPr>
          <w:rFonts w:ascii="Times New Roman" w:cs="Times New Roman" w:hAnsi="Times New Roman"/>
        </w:rPr>
        <w:t xml:space="preserve"> Ukeje v Ukeje (n 295).</w:t>
      </w:r>
    </w:p>
  </w:footnote>
  <w:footnote w:id="590">
    <w:p w14:paraId="71828B9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Mojekwu v Mojekwu (n 294).</w:t>
      </w:r>
    </w:p>
  </w:footnote>
  <w:footnote w:id="591">
    <w:p w14:paraId="175D636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592">
    <w:p w14:paraId="3F0CFBE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See generally J A Ajonumah and O Dublin-Green, ‘Paternity and Customary Acknowledgment’ [2019] 7(2) IJ</w:t>
      </w:r>
      <w:r>
        <w:rPr>
          <w:rFonts w:ascii="Times New Roman" w:cs="Times New Roman" w:hAnsi="Times New Roman"/>
          <w:i/>
          <w:iCs/>
        </w:rPr>
        <w:t>BLR</w:t>
      </w:r>
      <w:r>
        <w:rPr>
          <w:rFonts w:ascii="Times New Roman" w:cs="Times New Roman" w:hAnsi="Times New Roman"/>
        </w:rPr>
        <w:t xml:space="preserve"> 112 &lt;https://www.seahipublications.org/wp-content/uploads/2024/05/IJ</w:t>
      </w:r>
      <w:r>
        <w:rPr>
          <w:rFonts w:ascii="Times New Roman" w:cs="Times New Roman" w:hAnsi="Times New Roman"/>
          <w:i/>
          <w:iCs/>
        </w:rPr>
        <w:t>BLR</w:t>
      </w:r>
      <w:r>
        <w:rPr>
          <w:rFonts w:ascii="Times New Roman" w:cs="Times New Roman" w:hAnsi="Times New Roman"/>
        </w:rPr>
        <w:t>-J-10-2019.pdf&gt; accessed 27 April 2026.</w:t>
      </w:r>
    </w:p>
  </w:footnote>
  <w:footnote w:id="593">
    <w:p w14:paraId="34E21D5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Jessica A Ajonumah and Ogechi Dublin-Green, ‘Paternity and Customary Acknowledgment’ [2019] (7) (2) IJ</w:t>
      </w:r>
      <w:r>
        <w:rPr>
          <w:rFonts w:ascii="Times New Roman" w:cs="Times New Roman" w:hAnsi="Times New Roman"/>
          <w:i/>
          <w:iCs/>
        </w:rPr>
        <w:t>BLR</w:t>
      </w:r>
      <w:r>
        <w:rPr>
          <w:rFonts w:ascii="Times New Roman" w:cs="Times New Roman" w:hAnsi="Times New Roman"/>
        </w:rPr>
        <w:t xml:space="preserve"> 112–119 &lt;https://www.seahipublications.org/wp-content/uploads/2024/05/IJ</w:t>
      </w:r>
      <w:r>
        <w:rPr>
          <w:rFonts w:ascii="Times New Roman" w:cs="Times New Roman" w:hAnsi="Times New Roman"/>
          <w:i/>
          <w:iCs/>
        </w:rPr>
        <w:t>BLR</w:t>
      </w:r>
      <w:r>
        <w:rPr>
          <w:rFonts w:ascii="Times New Roman" w:cs="Times New Roman" w:hAnsi="Times New Roman"/>
        </w:rPr>
        <w:t>-J-10-2019.pdf&gt; accessed 27 April 2026.</w:t>
      </w:r>
    </w:p>
  </w:footnote>
  <w:footnote w:id="594">
    <w:p w14:paraId="69174FB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Access to Justice &amp; Law Reform Institute of Nova Scotia, ‘Extending Legal Parentage’ &lt;https://lawreform.ns.ca/wp- content/uploads/2024/03/Final-Report-Extending-Legal-Parentage-and-ART.pdf&gt; accessed 27 April 2026.</w:t>
      </w:r>
    </w:p>
  </w:footnote>
  <w:footnote w:id="595">
    <w:p w14:paraId="1DCF04B7">
      <w:pPr>
        <w:pStyle w:val="style29"/>
        <w:snapToGrid w:val="false"/>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Dafni Lima (n 67).</w:t>
      </w:r>
    </w:p>
  </w:footnote>
  <w:footnote w:id="596">
    <w:p w14:paraId="7234E134">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Kirsty Horsey (n 65).</w:t>
      </w:r>
    </w:p>
  </w:footnote>
  <w:footnote w:id="597">
    <w:p w14:paraId="6027D29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598">
    <w:p w14:paraId="449AA8A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 Koski, ‘Surrogacy Bill 2024’ &lt;https://www.mondaq.com/nigeria/family-law/1557464/surrogacy-bill-2024-nigerias-bold-step-toward-regulating-a-complex-frontier&gt; accessed 23 April 2026.</w:t>
      </w:r>
    </w:p>
  </w:footnote>
  <w:footnote w:id="599">
    <w:p w14:paraId="1DC5BBD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 Shenfield and others (n 11).</w:t>
      </w:r>
    </w:p>
  </w:footnote>
  <w:footnote w:id="600">
    <w:p w14:paraId="18EB6A7D">
      <w:pPr>
        <w:pStyle w:val="style29"/>
        <w:snapToGrid w:val="false"/>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Especially women and children; Shenfield F and others (n 11).</w:t>
      </w:r>
    </w:p>
  </w:footnote>
  <w:footnote w:id="601">
    <w:p w14:paraId="05E8D82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 Valc, ‘Intl. Consensus on Cross-Border Surrogacy’ [2025] (33) (3) </w:t>
      </w:r>
      <w:r>
        <w:rPr>
          <w:rFonts w:ascii="Times New Roman" w:cs="Times New Roman" w:hAnsi="Times New Roman"/>
          <w:i/>
          <w:iCs/>
        </w:rPr>
        <w:t>Medical Law</w:t>
      </w:r>
      <w:r>
        <w:rPr>
          <w:rFonts w:ascii="Times New Roman" w:cs="Times New Roman" w:hAnsi="Times New Roman"/>
        </w:rPr>
        <w:t xml:space="preserve"> Review fwaf029 &lt;https://doi.org/10.1093/medlaw/fwaf029&gt; accessed 27 April 2026.</w:t>
      </w:r>
    </w:p>
  </w:footnote>
  <w:footnote w:id="602">
    <w:p w14:paraId="5E646A0D">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HCCH (n 585).</w:t>
      </w:r>
    </w:p>
  </w:footnote>
  <w:footnote w:id="603">
    <w:p w14:paraId="1D5086E7">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Kirsty Horsey (n 65).</w:t>
      </w:r>
    </w:p>
  </w:footnote>
  <w:footnote w:id="604">
    <w:p w14:paraId="58C48B5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605">
    <w:p w14:paraId="7335ED38">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Obagboye Tomi Grace (n 407).</w:t>
      </w:r>
    </w:p>
  </w:footnote>
  <w:footnote w:id="606">
    <w:p w14:paraId="242DB72E">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607">
    <w:p w14:paraId="7A0C6A52">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Access to Justice &amp; Law Reform Institute of Nova Scotia (n 593).</w:t>
      </w:r>
    </w:p>
  </w:footnote>
  <w:footnote w:id="608">
    <w:p w14:paraId="18DD0DB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Bright Alozie, ‘Woman-to-Woman Marriage’ [2024] Oxford Research Encyclopedia of African History&lt;https://doi.org/10.1093/acrefore/9780190277734.013.1546&gt; accessed 27 April 2026.</w:t>
      </w:r>
    </w:p>
  </w:footnote>
  <w:footnote w:id="609">
    <w:p w14:paraId="36570FD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Kenneth Chukwuemeka Nwoko, ‘Female Husbands in Igbo Land’ [2012] (5) (1) </w:t>
      </w:r>
      <w:r>
        <w:rPr>
          <w:rFonts w:ascii="Times New Roman" w:cs="Times New Roman" w:hAnsi="Times New Roman"/>
          <w:i/>
          <w:iCs/>
        </w:rPr>
        <w:t>JPAS</w:t>
      </w:r>
      <w:r>
        <w:rPr>
          <w:rFonts w:ascii="Times New Roman" w:cs="Times New Roman" w:hAnsi="Times New Roman"/>
        </w:rPr>
        <w:t xml:space="preserve"> 69–82&lt;https://www.researchgate.net/publication/344199766_Female_Husbands_in_Igboland_Southeast_Nigeri&gt; accessed 27 April 2026.</w:t>
      </w:r>
    </w:p>
  </w:footnote>
  <w:footnote w:id="610">
    <w:p w14:paraId="57824D20">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Joseph N Nwogu and others, ‘Roman Catholicism and Fertility among the Mbaise’ [2021] (7) (2) </w:t>
      </w:r>
      <w:r>
        <w:rPr>
          <w:rFonts w:ascii="Times New Roman" w:cs="Times New Roman" w:hAnsi="Times New Roman"/>
          <w:i/>
          <w:iCs/>
        </w:rPr>
        <w:t>Heliyon</w:t>
      </w:r>
      <w:r>
        <w:rPr>
          <w:rFonts w:ascii="Times New Roman" w:cs="Times New Roman" w:hAnsi="Times New Roman"/>
        </w:rPr>
        <w:t xml:space="preserve"> e05929 &lt;https://doi.org/10.1016/j.heliyon.2021.e05929&gt; accessed 27 April 2026.</w:t>
      </w:r>
    </w:p>
  </w:footnote>
  <w:footnote w:id="611">
    <w:p w14:paraId="056D163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612">
    <w:p w14:paraId="2F1103EF">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Ezenwa and others ( n 73).</w:t>
      </w:r>
    </w:p>
  </w:footnote>
  <w:footnote w:id="613">
    <w:p w14:paraId="73398ABB">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Chijioke Collins Ani (n 557).</w:t>
      </w:r>
    </w:p>
  </w:footnote>
  <w:footnote w:id="614">
    <w:p w14:paraId="221CF2E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615">
    <w:p w14:paraId="2EA01A6D">
      <w:pPr>
        <w:pStyle w:val="style29"/>
        <w:snapToGrid w:val="false"/>
        <w:rPr/>
      </w:pPr>
      <w:r>
        <w:rPr>
          <w:rStyle w:val="style38"/>
        </w:rPr>
        <w:footnoteRef/>
      </w:r>
      <w:r>
        <w:rPr>
          <w:rFonts w:ascii="Times New Roman" w:cs="Times New Roman" w:hAnsi="Times New Roman"/>
        </w:rPr>
        <w:t xml:space="preserve"> Holy Bible, KJV, Genesis 16:1–4.</w:t>
      </w:r>
    </w:p>
  </w:footnote>
  <w:footnote w:id="616">
    <w:p w14:paraId="28E2F205">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David J Zucker, ‘Surrogacy in Genesis’ [2021] 76(1) </w:t>
      </w:r>
      <w:r>
        <w:rPr>
          <w:rFonts w:ascii="Times New Roman" w:cs="Times New Roman" w:hAnsi="Times New Roman"/>
          <w:i/>
          <w:iCs/>
        </w:rPr>
        <w:t>ATJ</w:t>
      </w:r>
      <w:r>
        <w:rPr>
          <w:rFonts w:ascii="Times New Roman" w:cs="Times New Roman" w:hAnsi="Times New Roman"/>
        </w:rPr>
        <w:t xml:space="preserve"> 9–24 https://doi.org/10.7252/Journal.01.2021S.02 accessed 27 April 2026.</w:t>
      </w:r>
    </w:p>
  </w:footnote>
  <w:footnote w:id="617">
    <w:p w14:paraId="645BB491">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Zucker (n 617).</w:t>
      </w:r>
    </w:p>
  </w:footnote>
  <w:footnote w:id="618">
    <w:p w14:paraId="367FD346">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Gamal I Serour, ‘ART: Islamic Perspective’ in Effy Vayena, Patrick J Rowe and P David Griffin (eds), </w:t>
      </w:r>
      <w:r>
        <w:rPr>
          <w:rFonts w:ascii="Times New Roman" w:cs="Times New Roman" w:hAnsi="Times New Roman"/>
          <w:i/>
          <w:iCs/>
        </w:rPr>
        <w:t>Assisted Reproduction</w:t>
      </w:r>
      <w:r>
        <w:rPr>
          <w:rFonts w:ascii="Times New Roman" w:cs="Times New Roman" w:hAnsi="Times New Roman"/>
        </w:rPr>
        <w:t xml:space="preserve"> (</w:t>
      </w:r>
      <w:r>
        <w:rPr>
          <w:rFonts w:ascii="Times New Roman" w:cs="Times New Roman" w:hAnsi="Times New Roman"/>
          <w:i/>
          <w:iCs/>
        </w:rPr>
        <w:t>WHO</w:t>
      </w:r>
      <w:r>
        <w:rPr>
          <w:rFonts w:ascii="Times New Roman" w:cs="Times New Roman" w:hAnsi="Times New Roman"/>
        </w:rPr>
        <w:t xml:space="preserve"> 2002) 72–80 https://www.ncbi.nlm.nih.gov/books/NBK500175/ accessed 27 April 2026.</w:t>
      </w:r>
    </w:p>
  </w:footnote>
  <w:footnote w:id="619">
    <w:p w14:paraId="38128309">
      <w:pPr>
        <w:pStyle w:val="style29"/>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Obadina (n 12).</w:t>
      </w:r>
    </w:p>
  </w:footnote>
  <w:footnote w:id="620">
    <w:p w14:paraId="073DA683">
      <w:pPr>
        <w:pStyle w:val="style29"/>
        <w:ind w:left="261"/>
        <w:jc w:val="both"/>
        <w:rPr>
          <w:rFonts w:ascii="Times New Roman" w:cs="Times New Roman" w:hAnsi="Times New Roman"/>
          <w:lang w:val="en-US"/>
        </w:rPr>
      </w:pPr>
      <w:r>
        <w:rPr>
          <w:rStyle w:val="style38"/>
          <w:rFonts w:ascii="Times New Roman" w:cs="Times New Roman" w:hAnsi="Times New Roman"/>
        </w:rPr>
        <w:footnoteRef/>
      </w:r>
      <w:r>
        <w:rPr>
          <w:rFonts w:ascii="Times New Roman" w:cs="Times New Roman" w:hAnsi="Times New Roman"/>
        </w:rPr>
        <w:t xml:space="preserve"> Alabi (n 527).</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64D992F">
    <w:pPr>
      <w:pStyle w:val="style31"/>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E39848E">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5C8A0B9">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A38E3DDC"/>
    <w:lvl w:ilvl="0">
      <w:start w:val="1"/>
      <w:numFmt w:val="decimal"/>
      <w:suff w:val="space"/>
      <w:lvlText w:val="%1)"/>
      <w:lvlJc w:val="left"/>
      <w:pPr/>
      <w:rPr>
        <w:rFonts w:hint="default"/>
        <w:b w:val="false"/>
        <w:bCs w:val="false"/>
      </w:rPr>
    </w:lvl>
  </w:abstractNum>
  <w:abstractNum w:abstractNumId="1">
    <w:nsid w:val="00000001"/>
    <w:multiLevelType w:val="singleLevel"/>
    <w:tmpl w:val="4AC0A40F"/>
    <w:lvl w:ilvl="0">
      <w:start w:val="1"/>
      <w:numFmt w:val="decimal"/>
      <w:suff w:val="space"/>
      <w:lvlText w:val="%1)"/>
      <w:lvlJc w:val="left"/>
      <w:p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rPr>
    </w:rPrDefault>
    <w:pPrDefault>
      <w:pPr/>
    </w:pPrDefault>
  </w:docDefaults>
  <w:style w:type="paragraph" w:default="1" w:styleId="style0">
    <w:name w:val="Normal"/>
    <w:next w:val="style0"/>
    <w:qFormat/>
    <w:uiPriority w:val="0"/>
    <w:pPr>
      <w:spacing w:after="200" w:lineRule="auto" w:line="276"/>
    </w:pPr>
    <w:rPr>
      <w:rFonts w:ascii="Calibri" w:cs="宋体" w:eastAsia="Calibri" w:hAnsi="Calibri"/>
      <w:sz w:val="22"/>
      <w:szCs w:val="22"/>
      <w:lang w:val="en-GB" w:bidi="ar-SA" w:eastAsia="en-US"/>
    </w:rPr>
  </w:style>
  <w:style w:type="paragraph" w:styleId="style1">
    <w:name w:val="heading 1"/>
    <w:basedOn w:val="style0"/>
    <w:next w:val="style0"/>
    <w:link w:val="style4100"/>
    <w:qFormat/>
    <w:uiPriority w:val="0"/>
    <w:pPr>
      <w:spacing w:lineRule="auto" w:line="480"/>
      <w:jc w:val="center"/>
      <w:outlineLvl w:val="0"/>
    </w:pPr>
    <w:rPr>
      <w:rFonts w:ascii="Times New Roman" w:cs="Times New Roman" w:hAnsi="Times New Roman"/>
      <w:b/>
      <w:sz w:val="24"/>
      <w:szCs w:val="24"/>
      <w:lang w:val="en-US"/>
    </w:rPr>
  </w:style>
  <w:style w:type="paragraph" w:styleId="style2">
    <w:name w:val="heading 2"/>
    <w:basedOn w:val="style0"/>
    <w:next w:val="style0"/>
    <w:qFormat/>
    <w:uiPriority w:val="0"/>
    <w:pPr>
      <w:spacing w:lineRule="auto" w:line="480"/>
      <w:jc w:val="both"/>
      <w:outlineLvl w:val="1"/>
    </w:pPr>
    <w:rPr>
      <w:rFonts w:ascii="Times New Roman" w:cs="Times New Roman" w:hAnsi="Times New Roman"/>
      <w:b/>
      <w:sz w:val="24"/>
      <w:szCs w:val="24"/>
    </w:rPr>
  </w:style>
  <w:style w:type="paragraph" w:styleId="style3">
    <w:name w:val="heading 3"/>
    <w:basedOn w:val="style0"/>
    <w:next w:val="style0"/>
    <w:qFormat/>
    <w:uiPriority w:val="0"/>
    <w:pPr>
      <w:spacing w:lineRule="auto" w:line="480"/>
      <w:jc w:val="both"/>
      <w:outlineLvl w:val="2"/>
    </w:pPr>
    <w:rPr>
      <w:rFonts w:ascii="Times New Roman" w:cs="Times New Roman" w:hAnsi="Times New Roman"/>
      <w:b/>
      <w:sz w:val="24"/>
      <w:szCs w:val="24"/>
    </w:rPr>
  </w:style>
  <w:style w:type="paragraph" w:styleId="style4">
    <w:name w:val="heading 4"/>
    <w:basedOn w:val="style0"/>
    <w:next w:val="style0"/>
    <w:link w:val="style4101"/>
    <w:qFormat/>
    <w:uiPriority w:val="0"/>
    <w:pPr>
      <w:spacing w:lineRule="auto" w:line="480"/>
      <w:jc w:val="both"/>
      <w:outlineLvl w:val="3"/>
    </w:pPr>
    <w:rPr>
      <w:rFonts w:ascii="Times New Roman" w:cs="Times New Roman" w:hAnsi="Times New Roman"/>
      <w:b/>
      <w:sz w:val="24"/>
      <w:szCs w:val="24"/>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153">
    <w:name w:val="Balloon Text"/>
    <w:basedOn w:val="style0"/>
    <w:next w:val="style153"/>
    <w:link w:val="style4103"/>
    <w:qFormat/>
    <w:uiPriority w:val="0"/>
    <w:pPr>
      <w:spacing w:after="0" w:lineRule="auto" w:line="240"/>
    </w:pPr>
    <w:rPr>
      <w:rFonts w:ascii="Tahoma" w:cs="Tahoma" w:hAnsi="Tahoma"/>
      <w:sz w:val="16"/>
      <w:szCs w:val="16"/>
    </w:rPr>
  </w:style>
  <w:style w:type="paragraph" w:styleId="style66">
    <w:name w:val="Body Text"/>
    <w:basedOn w:val="style0"/>
    <w:next w:val="style66"/>
    <w:qFormat/>
    <w:uiPriority w:val="0"/>
    <w:pPr>
      <w:spacing w:before="180" w:after="180"/>
    </w:pPr>
    <w:rPr/>
  </w:style>
  <w:style w:type="character" w:styleId="style88">
    <w:name w:val="Emphasis"/>
    <w:basedOn w:val="style65"/>
    <w:next w:val="style88"/>
    <w:qFormat/>
    <w:uiPriority w:val="20"/>
    <w:rPr>
      <w:i/>
      <w:iCs/>
    </w:rPr>
  </w:style>
  <w:style w:type="paragraph" w:styleId="style32">
    <w:name w:val="footer"/>
    <w:basedOn w:val="style0"/>
    <w:next w:val="style32"/>
    <w:link w:val="style4099"/>
    <w:qFormat/>
    <w:uiPriority w:val="99"/>
    <w:pPr>
      <w:tabs>
        <w:tab w:val="center" w:leader="none" w:pos="4680"/>
        <w:tab w:val="right" w:leader="none" w:pos="9360"/>
      </w:tabs>
      <w:spacing w:after="0" w:lineRule="auto" w:line="240"/>
    </w:pPr>
    <w:rPr/>
  </w:style>
  <w:style w:type="character" w:styleId="style38">
    <w:name w:val="footnote reference"/>
    <w:basedOn w:val="style65"/>
    <w:next w:val="style38"/>
    <w:qFormat/>
    <w:uiPriority w:val="99"/>
    <w:rPr>
      <w:vertAlign w:val="superscript"/>
    </w:rPr>
  </w:style>
  <w:style w:type="paragraph" w:styleId="style29">
    <w:name w:val="footnote text"/>
    <w:basedOn w:val="style0"/>
    <w:next w:val="style29"/>
    <w:qFormat/>
    <w:uiPriority w:val="99"/>
    <w:pPr>
      <w:spacing w:after="0" w:lineRule="auto" w:line="240"/>
    </w:pPr>
    <w:rPr>
      <w:sz w:val="20"/>
      <w:szCs w:val="20"/>
    </w:rPr>
  </w:style>
  <w:style w:type="paragraph" w:styleId="style31">
    <w:name w:val="header"/>
    <w:basedOn w:val="style0"/>
    <w:next w:val="style31"/>
    <w:link w:val="style4098"/>
    <w:qFormat/>
    <w:uiPriority w:val="0"/>
    <w:pPr>
      <w:tabs>
        <w:tab w:val="center" w:leader="none" w:pos="4680"/>
        <w:tab w:val="right" w:leader="none" w:pos="9360"/>
      </w:tabs>
      <w:spacing w:after="0" w:lineRule="auto" w:line="240"/>
    </w:pPr>
    <w:rPr/>
  </w:style>
  <w:style w:type="character" w:styleId="style85">
    <w:name w:val="Hyperlink"/>
    <w:basedOn w:val="style65"/>
    <w:next w:val="style85"/>
    <w:qFormat/>
    <w:uiPriority w:val="99"/>
    <w:rPr>
      <w:color w:val="0000ff"/>
      <w:u w:val="single"/>
    </w:rPr>
  </w:style>
  <w:style w:type="paragraph" w:styleId="style94">
    <w:name w:val="Normal (Web)"/>
    <w:next w:val="style94"/>
    <w:qFormat/>
    <w:uiPriority w:val="99"/>
    <w:pPr>
      <w:spacing w:beforeAutospacing="true" w:afterAutospacing="true"/>
    </w:pPr>
    <w:rPr>
      <w:rFonts w:ascii="Times New Roman" w:cs="Times New Roman" w:eastAsia="SimSun" w:hAnsi="Times New Roman"/>
      <w:sz w:val="24"/>
      <w:szCs w:val="24"/>
      <w:lang w:val="en-US" w:bidi="ar-SA" w:eastAsia="zh-CN"/>
    </w:rPr>
  </w:style>
  <w:style w:type="character" w:styleId="style87">
    <w:name w:val="Strong"/>
    <w:basedOn w:val="style65"/>
    <w:next w:val="style87"/>
    <w:qFormat/>
    <w:uiPriority w:val="22"/>
    <w:rPr>
      <w:b/>
      <w:bCs/>
    </w:rPr>
  </w:style>
  <w:style w:type="paragraph" w:styleId="style19">
    <w:name w:val="toc 1"/>
    <w:basedOn w:val="style0"/>
    <w:next w:val="style0"/>
    <w:uiPriority w:val="39"/>
    <w:pPr>
      <w:spacing w:after="100"/>
    </w:pPr>
    <w:rPr/>
  </w:style>
  <w:style w:type="paragraph" w:styleId="style20">
    <w:name w:val="toc 2"/>
    <w:basedOn w:val="style0"/>
    <w:next w:val="style0"/>
    <w:uiPriority w:val="39"/>
    <w:pPr>
      <w:spacing w:after="100"/>
      <w:ind w:left="220"/>
    </w:pPr>
    <w:rPr/>
  </w:style>
  <w:style w:type="paragraph" w:styleId="style21">
    <w:name w:val="toc 3"/>
    <w:basedOn w:val="style0"/>
    <w:next w:val="style0"/>
    <w:uiPriority w:val="39"/>
    <w:pPr>
      <w:spacing w:after="100"/>
      <w:ind w:left="440"/>
    </w:pPr>
    <w:rPr/>
  </w:style>
  <w:style w:type="paragraph" w:styleId="style22">
    <w:name w:val="toc 4"/>
    <w:basedOn w:val="style0"/>
    <w:next w:val="style0"/>
    <w:uiPriority w:val="39"/>
    <w:pPr>
      <w:spacing w:after="100"/>
      <w:ind w:left="660"/>
    </w:pPr>
    <w:rPr>
      <w:rFonts w:eastAsia="等线"/>
      <w:lang w:val="en-US"/>
    </w:rPr>
  </w:style>
  <w:style w:type="paragraph" w:styleId="style23">
    <w:name w:val="toc 5"/>
    <w:basedOn w:val="style0"/>
    <w:next w:val="style0"/>
    <w:uiPriority w:val="39"/>
    <w:pPr>
      <w:spacing w:after="100"/>
      <w:ind w:left="880"/>
    </w:pPr>
    <w:rPr>
      <w:rFonts w:eastAsia="等线"/>
      <w:lang w:val="en-US"/>
    </w:rPr>
  </w:style>
  <w:style w:type="paragraph" w:styleId="style24">
    <w:name w:val="toc 6"/>
    <w:basedOn w:val="style0"/>
    <w:next w:val="style0"/>
    <w:uiPriority w:val="39"/>
    <w:pPr>
      <w:spacing w:after="100"/>
      <w:ind w:left="1100"/>
    </w:pPr>
    <w:rPr>
      <w:rFonts w:eastAsia="等线"/>
      <w:lang w:val="en-US"/>
    </w:rPr>
  </w:style>
  <w:style w:type="paragraph" w:styleId="style25">
    <w:name w:val="toc 7"/>
    <w:basedOn w:val="style0"/>
    <w:next w:val="style0"/>
    <w:uiPriority w:val="39"/>
    <w:pPr>
      <w:spacing w:after="100"/>
      <w:ind w:left="1320"/>
    </w:pPr>
    <w:rPr>
      <w:rFonts w:eastAsia="等线"/>
      <w:lang w:val="en-US"/>
    </w:rPr>
  </w:style>
  <w:style w:type="paragraph" w:styleId="style26">
    <w:name w:val="toc 8"/>
    <w:basedOn w:val="style0"/>
    <w:next w:val="style0"/>
    <w:uiPriority w:val="39"/>
    <w:pPr>
      <w:spacing w:after="100"/>
      <w:ind w:left="1540"/>
    </w:pPr>
    <w:rPr>
      <w:rFonts w:eastAsia="等线"/>
      <w:lang w:val="en-US"/>
    </w:rPr>
  </w:style>
  <w:style w:type="paragraph" w:styleId="style27">
    <w:name w:val="toc 9"/>
    <w:basedOn w:val="style0"/>
    <w:next w:val="style0"/>
    <w:uiPriority w:val="39"/>
    <w:pPr>
      <w:spacing w:after="100"/>
      <w:ind w:left="1760"/>
    </w:pPr>
    <w:rPr>
      <w:rFonts w:eastAsia="等线"/>
      <w:lang w:val="en-US"/>
    </w:rPr>
  </w:style>
  <w:style w:type="paragraph" w:customStyle="1" w:styleId="style4097">
    <w:name w:val="First Paragraph"/>
    <w:basedOn w:val="style66"/>
    <w:next w:val="style66"/>
    <w:qFormat/>
    <w:uiPriority w:val="0"/>
    <w:pPr/>
  </w:style>
  <w:style w:type="character" w:customStyle="1" w:styleId="style4098">
    <w:name w:val="Header Char_08dde91d-2bda-4b5c-b8b9-e739fd7d6b59"/>
    <w:basedOn w:val="style65"/>
    <w:next w:val="style4098"/>
    <w:link w:val="style31"/>
    <w:uiPriority w:val="0"/>
    <w:rPr>
      <w:rFonts w:ascii="Calibri" w:cs="宋体" w:eastAsia="Calibri" w:hAnsi="Calibri"/>
      <w:sz w:val="22"/>
      <w:szCs w:val="22"/>
      <w:lang w:val="en-GB"/>
    </w:rPr>
  </w:style>
  <w:style w:type="character" w:customStyle="1" w:styleId="style4099">
    <w:name w:val="Footer Char_8befcc28-3834-4cc1-898d-1119cc67c36f"/>
    <w:basedOn w:val="style65"/>
    <w:next w:val="style4099"/>
    <w:link w:val="style32"/>
    <w:qFormat/>
    <w:uiPriority w:val="99"/>
    <w:rPr>
      <w:rFonts w:ascii="Calibri" w:cs="宋体" w:eastAsia="Calibri" w:hAnsi="Calibri"/>
      <w:sz w:val="22"/>
      <w:szCs w:val="22"/>
      <w:lang w:val="en-GB"/>
    </w:rPr>
  </w:style>
  <w:style w:type="character" w:customStyle="1" w:styleId="style4100">
    <w:name w:val="Heading 1 Char_fba23415-2138-4da8-8456-28cb3826a15c"/>
    <w:basedOn w:val="style65"/>
    <w:next w:val="style4100"/>
    <w:link w:val="style1"/>
    <w:qFormat/>
    <w:uiPriority w:val="0"/>
    <w:rPr>
      <w:rFonts w:eastAsia="Calibri"/>
      <w:b/>
      <w:sz w:val="24"/>
      <w:szCs w:val="24"/>
    </w:rPr>
  </w:style>
  <w:style w:type="character" w:customStyle="1" w:styleId="style4101">
    <w:name w:val="Heading 4 Char_e190fc8f-8d07-4a53-b6c2-d4da5b9fba32"/>
    <w:basedOn w:val="style65"/>
    <w:next w:val="style4101"/>
    <w:link w:val="style4"/>
    <w:qFormat/>
    <w:uiPriority w:val="0"/>
    <w:rPr>
      <w:rFonts w:eastAsia="Calibri"/>
      <w:b/>
      <w:sz w:val="24"/>
      <w:szCs w:val="24"/>
      <w:lang w:val="en-GB"/>
    </w:rPr>
  </w:style>
  <w:style w:type="paragraph" w:styleId="style179">
    <w:name w:val="List Paragraph"/>
    <w:basedOn w:val="style0"/>
    <w:next w:val="style179"/>
    <w:qFormat/>
    <w:uiPriority w:val="99"/>
    <w:pPr>
      <w:ind w:left="720"/>
      <w:contextualSpacing/>
    </w:pPr>
    <w:rPr/>
  </w:style>
  <w:style w:type="paragraph" w:customStyle="1" w:styleId="style4102">
    <w:name w:val="TOC Heading_c6ed0ed8-81bb-4e63-8c29-0b3efafc6684"/>
    <w:basedOn w:val="style1"/>
    <w:next w:val="style0"/>
    <w:qFormat/>
    <w:uiPriority w:val="39"/>
    <w:pPr>
      <w:keepNext/>
      <w:keepLines/>
      <w:spacing w:before="480" w:after="0" w:lineRule="auto" w:line="276"/>
      <w:jc w:val="left"/>
      <w:outlineLvl w:val="9"/>
    </w:pPr>
    <w:rPr>
      <w:rFonts w:ascii="Calibri Light" w:cs="宋体" w:eastAsia="等线 Light" w:hAnsi="Calibri Light"/>
      <w:bCs/>
      <w:color w:val="2e75b5"/>
      <w:sz w:val="28"/>
      <w:szCs w:val="28"/>
    </w:rPr>
  </w:style>
  <w:style w:type="character" w:customStyle="1" w:styleId="style4103">
    <w:name w:val="Balloon Text Char"/>
    <w:basedOn w:val="style65"/>
    <w:next w:val="style4103"/>
    <w:link w:val="style153"/>
    <w:qFormat/>
    <w:uiPriority w:val="0"/>
    <w:rPr>
      <w:rFonts w:ascii="Tahoma" w:cs="Tahoma" w:eastAsia="Calibri" w:hAnsi="Tahoma"/>
      <w:sz w:val="16"/>
      <w:szCs w:val="16"/>
      <w:lang w:val="en-GB"/>
    </w:rPr>
  </w:style>
</w:styles>
</file>

<file path=word/_rels/document.xml.rels><?xml version="1.0" encoding="UTF-8"?>
<Relationships xmlns="http://schemas.openxmlformats.org/package/2006/relationships"><Relationship Id="rId11" Type="http://schemas.openxmlformats.org/officeDocument/2006/relationships/styles" Target="styles.xml"/><Relationship Id="rId10" Type="http://schemas.openxmlformats.org/officeDocument/2006/relationships/footnotes" Target="footnotes.xml"/><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9" Type="http://schemas.openxmlformats.org/officeDocument/2006/relationships/footer" Target="footer6.xml"/><Relationship Id="rId15" Type="http://schemas.openxmlformats.org/officeDocument/2006/relationships/customXml" Target="../customXml/item1.xml"/><Relationship Id="rId14" Type="http://schemas.openxmlformats.org/officeDocument/2006/relationships/theme" Target="theme/theme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4.xml"/><Relationship Id="rId8"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4C74B-D3F6-4443-8B0D-319F6A85A40B}">
  <ds:schemaRefs/>
</ds:datastoreItem>
</file>

<file path=docProps/app.xml><?xml version="1.0" encoding="utf-8"?>
<Properties xmlns="http://schemas.openxmlformats.org/officeDocument/2006/extended-properties" xmlns:vt="http://schemas.openxmlformats.org/officeDocument/2006/docPropsVTypes">
  <Template>Normal</Template>
  <TotalTime>8</TotalTime>
  <Words>31833</Words>
  <Pages>126</Pages>
  <Characters>194446</Characters>
  <Application>WPS Office</Application>
  <DocSecurity>0</DocSecurity>
  <Paragraphs>1510</Paragraphs>
  <ScaleCrop>false</ScaleCrop>
  <LinksUpToDate>false</LinksUpToDate>
  <CharactersWithSpaces>225946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2026-06-29T21:47:00Z</dcterms:created>
  <dc:creator>Princess Ebube</dc:creator>
  <lastModifiedBy>SM-A175F</lastModifiedBy>
  <dcterms:modified xsi:type="dcterms:W3CDTF">2026-07-24T09:24:01Z</dcterms:modified>
  <revision>34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e53fd0409b89462dbf1777aeb95a5fbf_23</vt:lpwstr>
  </property>
</Properties>
</file>